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5DC3E">
      <w:pPr>
        <w:keepNext w:val="0"/>
        <w:keepLines w:val="0"/>
        <w:pageBreakBefore w:val="0"/>
        <w:kinsoku/>
        <w:wordWrap/>
        <w:overflowPunct/>
        <w:topLinePunct w:val="0"/>
        <w:autoSpaceDE/>
        <w:autoSpaceDN/>
        <w:bidi w:val="0"/>
        <w:spacing w:afterAutospacing="0" w:line="560" w:lineRule="exact"/>
        <w:ind w:firstLine="640" w:firstLineChars="200"/>
        <w:jc w:val="center"/>
        <w:textAlignment w:val="auto"/>
        <w:rPr>
          <w:rFonts w:ascii="宋体" w:hAnsi="宋体"/>
          <w:sz w:val="32"/>
          <w:szCs w:val="32"/>
          <w:u w:val="none" w:color="auto"/>
        </w:rPr>
      </w:pPr>
    </w:p>
    <w:p w14:paraId="781F0199">
      <w:pPr>
        <w:keepNext w:val="0"/>
        <w:keepLines w:val="0"/>
        <w:pageBreakBefore w:val="0"/>
        <w:kinsoku/>
        <w:wordWrap/>
        <w:overflowPunct/>
        <w:topLinePunct w:val="0"/>
        <w:autoSpaceDE/>
        <w:autoSpaceDN/>
        <w:bidi w:val="0"/>
        <w:spacing w:afterAutospacing="0" w:line="560" w:lineRule="exact"/>
        <w:ind w:firstLine="640" w:firstLineChars="200"/>
        <w:jc w:val="center"/>
        <w:textAlignment w:val="auto"/>
        <w:rPr>
          <w:rFonts w:ascii="宋体" w:hAnsi="宋体"/>
          <w:sz w:val="32"/>
          <w:szCs w:val="32"/>
          <w:u w:val="none" w:color="auto"/>
        </w:rPr>
      </w:pPr>
    </w:p>
    <w:p w14:paraId="588D4AEF">
      <w:pPr>
        <w:keepNext w:val="0"/>
        <w:keepLines w:val="0"/>
        <w:pageBreakBefore w:val="0"/>
        <w:kinsoku/>
        <w:wordWrap/>
        <w:overflowPunct/>
        <w:topLinePunct w:val="0"/>
        <w:autoSpaceDE/>
        <w:autoSpaceDN/>
        <w:bidi w:val="0"/>
        <w:spacing w:afterAutospacing="0" w:line="560" w:lineRule="exact"/>
        <w:ind w:firstLine="640" w:firstLineChars="200"/>
        <w:jc w:val="center"/>
        <w:textAlignment w:val="auto"/>
        <w:rPr>
          <w:rFonts w:ascii="宋体" w:hAnsi="宋体"/>
          <w:sz w:val="32"/>
          <w:szCs w:val="32"/>
          <w:u w:val="none" w:color="auto"/>
        </w:rPr>
      </w:pPr>
    </w:p>
    <w:p w14:paraId="3F809282">
      <w:pPr>
        <w:keepNext w:val="0"/>
        <w:keepLines w:val="0"/>
        <w:pageBreakBefore w:val="0"/>
        <w:kinsoku/>
        <w:wordWrap/>
        <w:overflowPunct/>
        <w:topLinePunct w:val="0"/>
        <w:autoSpaceDE/>
        <w:autoSpaceDN/>
        <w:bidi w:val="0"/>
        <w:spacing w:afterAutospacing="0" w:line="560" w:lineRule="exact"/>
        <w:ind w:firstLine="640" w:firstLineChars="200"/>
        <w:jc w:val="center"/>
        <w:textAlignment w:val="auto"/>
        <w:rPr>
          <w:rFonts w:ascii="宋体" w:hAnsi="宋体"/>
          <w:sz w:val="32"/>
          <w:szCs w:val="32"/>
          <w:u w:val="none" w:color="auto"/>
        </w:rPr>
      </w:pPr>
    </w:p>
    <w:p w14:paraId="42815D58">
      <w:pPr>
        <w:keepNext w:val="0"/>
        <w:keepLines w:val="0"/>
        <w:pageBreakBefore w:val="0"/>
        <w:kinsoku/>
        <w:wordWrap/>
        <w:overflowPunct/>
        <w:topLinePunct w:val="0"/>
        <w:autoSpaceDE/>
        <w:autoSpaceDN/>
        <w:bidi w:val="0"/>
        <w:spacing w:afterAutospacing="0" w:line="560" w:lineRule="exact"/>
        <w:ind w:firstLine="880" w:firstLineChars="200"/>
        <w:jc w:val="center"/>
        <w:textAlignment w:val="auto"/>
        <w:rPr>
          <w:rFonts w:hint="eastAsia" w:ascii="方正小标宋简体" w:hAnsi="方正小标宋简体" w:eastAsia="方正小标宋简体" w:cs="方正小标宋简体"/>
          <w:b w:val="0"/>
          <w:bCs w:val="0"/>
          <w:sz w:val="44"/>
          <w:szCs w:val="44"/>
          <w:u w:val="none" w:color="auto"/>
        </w:rPr>
      </w:pPr>
      <w:r>
        <w:rPr>
          <w:rFonts w:hint="eastAsia" w:ascii="方正小标宋简体" w:hAnsi="方正小标宋简体" w:eastAsia="方正小标宋简体" w:cs="方正小标宋简体"/>
          <w:b w:val="0"/>
          <w:bCs w:val="0"/>
          <w:sz w:val="44"/>
          <w:szCs w:val="44"/>
          <w:u w:val="none" w:color="auto"/>
        </w:rPr>
        <w:t>2024年度多伦县人民检察院</w:t>
      </w:r>
    </w:p>
    <w:p w14:paraId="77E6C3D2">
      <w:pPr>
        <w:keepNext w:val="0"/>
        <w:keepLines w:val="0"/>
        <w:pageBreakBefore w:val="0"/>
        <w:kinsoku/>
        <w:wordWrap/>
        <w:overflowPunct/>
        <w:topLinePunct w:val="0"/>
        <w:autoSpaceDE/>
        <w:autoSpaceDN/>
        <w:bidi w:val="0"/>
        <w:spacing w:afterAutospacing="0" w:line="560" w:lineRule="exact"/>
        <w:ind w:firstLine="880" w:firstLineChars="200"/>
        <w:jc w:val="center"/>
        <w:textAlignment w:val="auto"/>
        <w:rPr>
          <w:rFonts w:hint="eastAsia" w:ascii="方正小标宋简体" w:hAnsi="方正小标宋简体" w:eastAsia="方正小标宋简体" w:cs="方正小标宋简体"/>
          <w:b w:val="0"/>
          <w:bCs w:val="0"/>
          <w:sz w:val="44"/>
          <w:szCs w:val="44"/>
          <w:u w:val="none" w:color="auto"/>
        </w:rPr>
      </w:pPr>
      <w:r>
        <w:rPr>
          <w:rFonts w:hint="eastAsia" w:ascii="方正小标宋简体" w:hAnsi="方正小标宋简体" w:eastAsia="方正小标宋简体" w:cs="方正小标宋简体"/>
          <w:b w:val="0"/>
          <w:bCs w:val="0"/>
          <w:sz w:val="44"/>
          <w:szCs w:val="44"/>
          <w:u w:val="none" w:color="auto"/>
        </w:rPr>
        <w:t>公开报告</w:t>
      </w:r>
    </w:p>
    <w:p w14:paraId="6AF33ABC">
      <w:pPr>
        <w:keepNext w:val="0"/>
        <w:keepLines w:val="0"/>
        <w:pageBreakBefore w:val="0"/>
        <w:kinsoku/>
        <w:wordWrap/>
        <w:overflowPunct/>
        <w:topLinePunct w:val="0"/>
        <w:autoSpaceDE/>
        <w:autoSpaceDN/>
        <w:bidi w:val="0"/>
        <w:spacing w:afterAutospacing="0" w:line="560" w:lineRule="exact"/>
        <w:ind w:firstLine="880" w:firstLineChars="200"/>
        <w:jc w:val="center"/>
        <w:textAlignment w:val="auto"/>
        <w:rPr>
          <w:rFonts w:hint="eastAsia" w:ascii="方正小标宋简体" w:hAnsi="方正小标宋简体" w:eastAsia="方正小标宋简体" w:cs="方正小标宋简体"/>
          <w:b w:val="0"/>
          <w:bCs w:val="0"/>
          <w:sz w:val="44"/>
          <w:szCs w:val="44"/>
          <w:u w:val="none" w:color="auto"/>
        </w:rPr>
      </w:pPr>
    </w:p>
    <w:p w14:paraId="10212A6C">
      <w:pPr>
        <w:keepNext w:val="0"/>
        <w:keepLines w:val="0"/>
        <w:pageBreakBefore w:val="0"/>
        <w:kinsoku/>
        <w:wordWrap/>
        <w:overflowPunct/>
        <w:topLinePunct w:val="0"/>
        <w:autoSpaceDE/>
        <w:autoSpaceDN/>
        <w:bidi w:val="0"/>
        <w:spacing w:afterAutospacing="0" w:line="560" w:lineRule="exact"/>
        <w:ind w:firstLine="643" w:firstLineChars="200"/>
        <w:jc w:val="center"/>
        <w:textAlignment w:val="auto"/>
        <w:rPr>
          <w:rFonts w:ascii="宋体" w:hAnsi="宋体"/>
          <w:b/>
          <w:bCs/>
          <w:sz w:val="32"/>
          <w:szCs w:val="32"/>
          <w:u w:val="none" w:color="auto"/>
        </w:rPr>
      </w:pPr>
    </w:p>
    <w:p w14:paraId="636528E7">
      <w:pPr>
        <w:keepNext w:val="0"/>
        <w:keepLines w:val="0"/>
        <w:pageBreakBefore w:val="0"/>
        <w:kinsoku/>
        <w:wordWrap/>
        <w:overflowPunct/>
        <w:topLinePunct w:val="0"/>
        <w:autoSpaceDE/>
        <w:autoSpaceDN/>
        <w:bidi w:val="0"/>
        <w:spacing w:afterAutospacing="0" w:line="560" w:lineRule="exact"/>
        <w:ind w:firstLine="643" w:firstLineChars="200"/>
        <w:jc w:val="center"/>
        <w:textAlignment w:val="auto"/>
        <w:rPr>
          <w:rFonts w:ascii="宋体" w:hAnsi="宋体"/>
          <w:b/>
          <w:bCs/>
          <w:sz w:val="32"/>
          <w:szCs w:val="32"/>
          <w:u w:val="none" w:color="auto"/>
        </w:rPr>
      </w:pPr>
    </w:p>
    <w:p w14:paraId="6DCAF0B4">
      <w:pPr>
        <w:keepNext w:val="0"/>
        <w:keepLines w:val="0"/>
        <w:pageBreakBefore w:val="0"/>
        <w:kinsoku/>
        <w:wordWrap/>
        <w:overflowPunct/>
        <w:topLinePunct w:val="0"/>
        <w:autoSpaceDE/>
        <w:autoSpaceDN/>
        <w:bidi w:val="0"/>
        <w:spacing w:afterAutospacing="0" w:line="560" w:lineRule="exact"/>
        <w:ind w:firstLine="643" w:firstLineChars="200"/>
        <w:jc w:val="center"/>
        <w:textAlignment w:val="auto"/>
        <w:rPr>
          <w:rFonts w:ascii="宋体" w:hAnsi="宋体"/>
          <w:b/>
          <w:bCs/>
          <w:sz w:val="32"/>
          <w:szCs w:val="32"/>
          <w:u w:val="none" w:color="auto"/>
        </w:rPr>
      </w:pPr>
    </w:p>
    <w:p w14:paraId="477478AA">
      <w:pPr>
        <w:keepNext w:val="0"/>
        <w:keepLines w:val="0"/>
        <w:pageBreakBefore w:val="0"/>
        <w:kinsoku/>
        <w:wordWrap/>
        <w:overflowPunct/>
        <w:topLinePunct w:val="0"/>
        <w:autoSpaceDE/>
        <w:autoSpaceDN/>
        <w:bidi w:val="0"/>
        <w:spacing w:afterAutospacing="0" w:line="560" w:lineRule="exact"/>
        <w:ind w:firstLine="643" w:firstLineChars="200"/>
        <w:jc w:val="center"/>
        <w:textAlignment w:val="auto"/>
        <w:rPr>
          <w:rFonts w:ascii="宋体" w:hAnsi="宋体"/>
          <w:b/>
          <w:bCs/>
          <w:sz w:val="32"/>
          <w:szCs w:val="32"/>
          <w:u w:val="none" w:color="auto"/>
        </w:rPr>
      </w:pPr>
    </w:p>
    <w:p w14:paraId="783C09CE">
      <w:pPr>
        <w:keepNext w:val="0"/>
        <w:keepLines w:val="0"/>
        <w:pageBreakBefore w:val="0"/>
        <w:kinsoku/>
        <w:wordWrap/>
        <w:overflowPunct/>
        <w:topLinePunct w:val="0"/>
        <w:autoSpaceDE/>
        <w:autoSpaceDN/>
        <w:bidi w:val="0"/>
        <w:spacing w:afterAutospacing="0" w:line="560" w:lineRule="exact"/>
        <w:ind w:firstLine="643" w:firstLineChars="200"/>
        <w:jc w:val="center"/>
        <w:textAlignment w:val="auto"/>
        <w:rPr>
          <w:rFonts w:ascii="宋体" w:hAnsi="宋体"/>
          <w:b/>
          <w:bCs/>
          <w:sz w:val="32"/>
          <w:szCs w:val="32"/>
          <w:u w:val="none" w:color="auto"/>
        </w:rPr>
      </w:pPr>
    </w:p>
    <w:p w14:paraId="24B239D0">
      <w:pPr>
        <w:keepNext w:val="0"/>
        <w:keepLines w:val="0"/>
        <w:pageBreakBefore w:val="0"/>
        <w:kinsoku/>
        <w:wordWrap/>
        <w:overflowPunct/>
        <w:topLinePunct w:val="0"/>
        <w:autoSpaceDE/>
        <w:autoSpaceDN/>
        <w:bidi w:val="0"/>
        <w:spacing w:afterAutospacing="0" w:line="560" w:lineRule="exact"/>
        <w:ind w:firstLine="643" w:firstLineChars="200"/>
        <w:jc w:val="left"/>
        <w:textAlignment w:val="auto"/>
        <w:rPr>
          <w:rFonts w:ascii="宋体" w:hAnsi="宋体"/>
          <w:b/>
          <w:bCs/>
          <w:sz w:val="32"/>
          <w:szCs w:val="32"/>
          <w:u w:val="none" w:color="auto"/>
        </w:rPr>
      </w:pPr>
    </w:p>
    <w:p w14:paraId="6D056D72">
      <w:pPr>
        <w:keepNext w:val="0"/>
        <w:keepLines w:val="0"/>
        <w:pageBreakBefore w:val="0"/>
        <w:kinsoku/>
        <w:wordWrap/>
        <w:overflowPunct/>
        <w:topLinePunct w:val="0"/>
        <w:autoSpaceDE/>
        <w:autoSpaceDN/>
        <w:bidi w:val="0"/>
        <w:spacing w:afterAutospacing="0" w:line="600" w:lineRule="auto"/>
        <w:ind w:firstLine="640" w:firstLineChars="200"/>
        <w:jc w:val="center"/>
        <w:textAlignment w:val="auto"/>
        <w:rPr>
          <w:rFonts w:ascii="宋体" w:hAnsi="宋体"/>
          <w:sz w:val="32"/>
          <w:szCs w:val="32"/>
          <w:u w:val="none" w:color="auto"/>
        </w:rPr>
      </w:pPr>
      <w:r>
        <w:rPr>
          <w:rFonts w:hint="eastAsia" w:ascii="宋体" w:hAnsi="宋体"/>
          <w:sz w:val="32"/>
          <w:szCs w:val="32"/>
          <w:u w:val="none" w:color="auto"/>
        </w:rPr>
        <w:t>部门（单位）名称：多伦县人民检察院部门</w:t>
      </w:r>
    </w:p>
    <w:p w14:paraId="663D5421">
      <w:pPr>
        <w:keepNext w:val="0"/>
        <w:keepLines w:val="0"/>
        <w:pageBreakBefore w:val="0"/>
        <w:kinsoku/>
        <w:wordWrap/>
        <w:overflowPunct/>
        <w:topLinePunct w:val="0"/>
        <w:autoSpaceDE/>
        <w:autoSpaceDN/>
        <w:bidi w:val="0"/>
        <w:spacing w:afterAutospacing="0" w:line="600" w:lineRule="auto"/>
        <w:ind w:firstLine="640" w:firstLineChars="200"/>
        <w:jc w:val="center"/>
        <w:textAlignment w:val="auto"/>
        <w:rPr>
          <w:rFonts w:ascii="宋体" w:hAnsi="宋体"/>
          <w:sz w:val="32"/>
          <w:szCs w:val="32"/>
          <w:u w:val="none" w:color="auto"/>
        </w:rPr>
      </w:pPr>
      <w:r>
        <w:rPr>
          <w:rFonts w:hint="eastAsia" w:ascii="宋体" w:hAnsi="宋体"/>
          <w:sz w:val="32"/>
          <w:szCs w:val="32"/>
          <w:u w:val="none" w:color="auto"/>
        </w:rPr>
        <w:t>单位负责人：纳民</w:t>
      </w:r>
    </w:p>
    <w:p w14:paraId="540AD4A7">
      <w:pPr>
        <w:keepNext w:val="0"/>
        <w:keepLines w:val="0"/>
        <w:pageBreakBefore w:val="0"/>
        <w:kinsoku/>
        <w:wordWrap/>
        <w:overflowPunct/>
        <w:topLinePunct w:val="0"/>
        <w:autoSpaceDE/>
        <w:autoSpaceDN/>
        <w:bidi w:val="0"/>
        <w:spacing w:afterAutospacing="0" w:line="600" w:lineRule="auto"/>
        <w:ind w:firstLine="640" w:firstLineChars="200"/>
        <w:jc w:val="center"/>
        <w:textAlignment w:val="auto"/>
        <w:rPr>
          <w:rFonts w:hint="eastAsia" w:ascii="宋体" w:hAnsi="宋体" w:eastAsia="宋体"/>
          <w:sz w:val="32"/>
          <w:szCs w:val="32"/>
          <w:u w:val="none" w:color="auto"/>
          <w:lang w:val="en-US" w:eastAsia="zh-CN"/>
        </w:rPr>
      </w:pPr>
      <w:r>
        <w:rPr>
          <w:rFonts w:hint="eastAsia" w:ascii="宋体" w:hAnsi="宋体"/>
          <w:sz w:val="32"/>
          <w:szCs w:val="32"/>
          <w:u w:val="none" w:color="auto"/>
        </w:rPr>
        <w:t>财务负责人：</w:t>
      </w:r>
      <w:r>
        <w:rPr>
          <w:rFonts w:hint="eastAsia" w:ascii="宋体" w:hAnsi="宋体"/>
          <w:sz w:val="32"/>
          <w:szCs w:val="32"/>
          <w:u w:val="none" w:color="auto"/>
          <w:lang w:eastAsia="zh-CN"/>
        </w:rPr>
        <w:t>张瑞杰</w:t>
      </w:r>
    </w:p>
    <w:p w14:paraId="0DEB3DF5">
      <w:pPr>
        <w:keepNext w:val="0"/>
        <w:keepLines w:val="0"/>
        <w:pageBreakBefore w:val="0"/>
        <w:kinsoku/>
        <w:wordWrap/>
        <w:overflowPunct/>
        <w:topLinePunct w:val="0"/>
        <w:autoSpaceDE/>
        <w:autoSpaceDN/>
        <w:bidi w:val="0"/>
        <w:spacing w:afterAutospacing="0" w:line="600" w:lineRule="auto"/>
        <w:ind w:firstLine="640" w:firstLineChars="200"/>
        <w:jc w:val="center"/>
        <w:textAlignment w:val="auto"/>
        <w:rPr>
          <w:rFonts w:ascii="宋体" w:hAnsi="宋体"/>
          <w:sz w:val="32"/>
          <w:szCs w:val="32"/>
          <w:u w:val="none" w:color="auto"/>
        </w:rPr>
      </w:pPr>
      <w:r>
        <w:rPr>
          <w:rFonts w:hint="eastAsia" w:ascii="宋体" w:hAnsi="宋体"/>
          <w:sz w:val="32"/>
          <w:szCs w:val="32"/>
          <w:u w:val="none" w:color="auto"/>
        </w:rPr>
        <w:t>编制人：魏婉琪</w:t>
      </w:r>
    </w:p>
    <w:p w14:paraId="3336C22B">
      <w:pPr>
        <w:keepNext w:val="0"/>
        <w:keepLines w:val="0"/>
        <w:pageBreakBefore w:val="0"/>
        <w:kinsoku/>
        <w:wordWrap/>
        <w:overflowPunct/>
        <w:topLinePunct w:val="0"/>
        <w:autoSpaceDE/>
        <w:autoSpaceDN/>
        <w:bidi w:val="0"/>
        <w:spacing w:afterAutospacing="0" w:line="600" w:lineRule="auto"/>
        <w:ind w:firstLine="640" w:firstLineChars="200"/>
        <w:jc w:val="center"/>
        <w:textAlignment w:val="auto"/>
        <w:rPr>
          <w:rFonts w:ascii="宋体" w:hAnsi="宋体"/>
          <w:sz w:val="32"/>
          <w:szCs w:val="32"/>
          <w:u w:val="none" w:color="auto"/>
        </w:rPr>
      </w:pPr>
      <w:r>
        <w:rPr>
          <w:rFonts w:hint="eastAsia" w:ascii="宋体" w:hAnsi="宋体"/>
          <w:sz w:val="32"/>
          <w:szCs w:val="32"/>
          <w:u w:val="none" w:color="auto"/>
        </w:rPr>
        <w:t>报送日期：</w:t>
      </w:r>
      <w:r>
        <w:rPr>
          <w:rFonts w:ascii="宋体" w:hAnsi="宋体"/>
          <w:sz w:val="32"/>
          <w:szCs w:val="32"/>
          <w:u w:val="none" w:color="auto"/>
        </w:rPr>
        <w:t>202</w:t>
      </w:r>
      <w:r>
        <w:rPr>
          <w:rFonts w:hint="eastAsia" w:ascii="宋体" w:hAnsi="宋体"/>
          <w:sz w:val="32"/>
          <w:szCs w:val="32"/>
          <w:u w:val="none" w:color="auto"/>
          <w:lang w:val="en-US" w:eastAsia="zh-CN"/>
        </w:rPr>
        <w:t>5</w:t>
      </w:r>
      <w:r>
        <w:rPr>
          <w:rFonts w:hint="eastAsia" w:ascii="宋体" w:hAnsi="宋体"/>
          <w:sz w:val="32"/>
          <w:szCs w:val="32"/>
          <w:u w:val="none" w:color="auto"/>
        </w:rPr>
        <w:t>年</w:t>
      </w:r>
      <w:r>
        <w:rPr>
          <w:rFonts w:hint="eastAsia" w:ascii="宋体" w:hAnsi="宋体"/>
          <w:sz w:val="32"/>
          <w:szCs w:val="32"/>
          <w:u w:val="none" w:color="auto"/>
          <w:lang w:val="en-US" w:eastAsia="zh-CN"/>
        </w:rPr>
        <w:t>8</w:t>
      </w:r>
      <w:r>
        <w:rPr>
          <w:rFonts w:hint="eastAsia" w:ascii="宋体" w:hAnsi="宋体"/>
          <w:sz w:val="32"/>
          <w:szCs w:val="32"/>
          <w:u w:val="none" w:color="auto"/>
        </w:rPr>
        <w:t>月</w:t>
      </w:r>
    </w:p>
    <w:p w14:paraId="1E5CF5FF">
      <w:pPr>
        <w:keepNext w:val="0"/>
        <w:keepLines w:val="0"/>
        <w:pageBreakBefore w:val="0"/>
        <w:kinsoku/>
        <w:wordWrap/>
        <w:overflowPunct/>
        <w:topLinePunct w:val="0"/>
        <w:autoSpaceDE/>
        <w:autoSpaceDN/>
        <w:bidi w:val="0"/>
        <w:spacing w:afterAutospacing="0" w:line="600" w:lineRule="auto"/>
        <w:ind w:firstLine="643" w:firstLineChars="200"/>
        <w:textAlignment w:val="auto"/>
        <w:rPr>
          <w:rFonts w:ascii="仿宋" w:hAnsi="仿宋" w:eastAsia="仿宋"/>
          <w:b/>
          <w:sz w:val="32"/>
          <w:szCs w:val="32"/>
          <w:u w:val="none" w:color="auto"/>
        </w:rPr>
        <w:sectPr>
          <w:footerReference r:id="rId3" w:type="default"/>
          <w:pgSz w:w="11906" w:h="16838"/>
          <w:pgMar w:top="2098" w:right="1474" w:bottom="1984" w:left="1587" w:header="0" w:footer="720" w:gutter="0"/>
          <w:cols w:space="425" w:num="1"/>
          <w:docGrid w:type="lines" w:linePitch="312" w:charSpace="0"/>
        </w:sectPr>
      </w:pPr>
    </w:p>
    <w:p w14:paraId="1C9A9517">
      <w:pPr>
        <w:keepNext w:val="0"/>
        <w:keepLines w:val="0"/>
        <w:pageBreakBefore w:val="0"/>
        <w:widowControl/>
        <w:kinsoku/>
        <w:wordWrap/>
        <w:overflowPunct/>
        <w:topLinePunct w:val="0"/>
        <w:autoSpaceDE/>
        <w:autoSpaceDN/>
        <w:bidi w:val="0"/>
        <w:spacing w:afterAutospacing="0" w:line="560" w:lineRule="exact"/>
        <w:ind w:firstLine="643" w:firstLineChars="200"/>
        <w:jc w:val="center"/>
        <w:textAlignment w:val="auto"/>
        <w:rPr>
          <w:rFonts w:ascii="Times New Roman" w:hAnsi="Times New Roman" w:eastAsia="Times New Roman" w:cs="Times New Roman"/>
          <w:kern w:val="0"/>
          <w:sz w:val="32"/>
          <w:szCs w:val="32"/>
          <w:u w:val="none" w:color="auto"/>
        </w:rPr>
      </w:pPr>
      <w:bookmarkStart w:id="0" w:name="a000"/>
      <w:r>
        <w:rPr>
          <w:rFonts w:ascii="仿宋_GB2312" w:hAnsi="仿宋_GB2312" w:eastAsia="仿宋_GB2312" w:cs="仿宋_GB2312"/>
          <w:b/>
          <w:bCs/>
          <w:kern w:val="0"/>
          <w:sz w:val="32"/>
          <w:szCs w:val="32"/>
          <w:u w:val="none" w:color="auto"/>
        </w:rPr>
        <w:t>目 录</w:t>
      </w:r>
    </w:p>
    <w:p w14:paraId="2F188C67">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Times New Roman" w:hAnsi="Times New Roman" w:eastAsia="Times New Roman" w:cs="Times New Roman"/>
          <w:b/>
          <w:bCs/>
          <w:kern w:val="0"/>
          <w:sz w:val="32"/>
          <w:szCs w:val="32"/>
          <w:u w:val="none" w:color="auto"/>
        </w:rPr>
        <w:t> </w:t>
      </w:r>
    </w:p>
    <w:p w14:paraId="6142750D">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黑体" w:hAnsi="黑体" w:eastAsia="黑体" w:cs="黑体"/>
          <w:kern w:val="0"/>
          <w:sz w:val="32"/>
          <w:szCs w:val="32"/>
          <w:u w:val="none" w:color="auto"/>
        </w:rPr>
        <w:t>第一部分 部门（单位）概况</w:t>
      </w:r>
    </w:p>
    <w:p w14:paraId="43CD1002">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一、主要职能、职责</w:t>
      </w:r>
    </w:p>
    <w:p w14:paraId="0705E388">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二、部门（单位）机构设置及决算单位构成情况</w:t>
      </w:r>
    </w:p>
    <w:p w14:paraId="6A1CECFC">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三、</w:t>
      </w:r>
      <w:r>
        <w:rPr>
          <w:rFonts w:ascii="times_new_roman" w:hAnsi="times_new_roman" w:eastAsia="times_new_roman" w:cs="times_new_roman"/>
          <w:kern w:val="0"/>
          <w:sz w:val="32"/>
          <w:szCs w:val="32"/>
          <w:u w:val="none" w:color="auto"/>
        </w:rPr>
        <w:t>2024</w:t>
      </w:r>
      <w:r>
        <w:rPr>
          <w:rFonts w:ascii="仿宋_GB2312" w:hAnsi="仿宋_GB2312" w:eastAsia="仿宋_GB2312" w:cs="仿宋_GB2312"/>
          <w:kern w:val="0"/>
          <w:sz w:val="32"/>
          <w:szCs w:val="32"/>
          <w:u w:val="none" w:color="auto"/>
        </w:rPr>
        <w:t>年度部门（单位）主要工作完成情况</w:t>
      </w:r>
    </w:p>
    <w:p w14:paraId="5E05FF13">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黑体" w:hAnsi="黑体" w:eastAsia="黑体" w:cs="黑体"/>
          <w:kern w:val="0"/>
          <w:sz w:val="32"/>
          <w:szCs w:val="32"/>
          <w:u w:val="none" w:color="auto"/>
        </w:rPr>
        <w:t>第二部分 部门（单位）决算情况说明</w:t>
      </w:r>
    </w:p>
    <w:p w14:paraId="53CE65EB">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一、收入支出决算总体情况说明</w:t>
      </w:r>
    </w:p>
    <w:p w14:paraId="47B5267A">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二、收入决算情况说明</w:t>
      </w:r>
    </w:p>
    <w:p w14:paraId="77DA3FDA">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三、支出决算情况说明</w:t>
      </w:r>
    </w:p>
    <w:p w14:paraId="4E116003">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四、财政拨款收入支出决算总体情况说明</w:t>
      </w:r>
    </w:p>
    <w:p w14:paraId="6C7991AD">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五、一般公共预算财政拨款支出决算情况说明</w:t>
      </w:r>
    </w:p>
    <w:p w14:paraId="7D5F75D8">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六、一般公共预算财政拨款基本支出决算情况说明</w:t>
      </w:r>
    </w:p>
    <w:p w14:paraId="33F384B8">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七、一般公共预算财政拨款项目支出决算情况说明</w:t>
      </w:r>
    </w:p>
    <w:p w14:paraId="71F4E45F">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八、财政拨款“三公”经费支出决算情况说明</w:t>
      </w:r>
    </w:p>
    <w:p w14:paraId="3C956AEB">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九、政府性基金预算财政拨款支出决算情况说明</w:t>
      </w:r>
    </w:p>
    <w:p w14:paraId="506C0256">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十、国有资本经营预算财政拨款支出决算情况说明</w:t>
      </w:r>
    </w:p>
    <w:p w14:paraId="119FD585">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十一、机关运行经费（公用经费）支出决算情况说明</w:t>
      </w:r>
    </w:p>
    <w:p w14:paraId="75D0D2CB">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十二、政府采购支出决算情况说明</w:t>
      </w:r>
    </w:p>
    <w:p w14:paraId="65E08BA8">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十三、国有资产占用情况说明</w:t>
      </w:r>
    </w:p>
    <w:p w14:paraId="4848666F">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十四、预算绩效情况说明</w:t>
      </w:r>
    </w:p>
    <w:p w14:paraId="097AE80A">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黑体" w:hAnsi="黑体" w:eastAsia="黑体" w:cs="黑体"/>
          <w:kern w:val="0"/>
          <w:sz w:val="32"/>
          <w:szCs w:val="32"/>
          <w:u w:val="none" w:color="auto"/>
        </w:rPr>
        <w:t>第三部分 名词解释</w:t>
      </w:r>
    </w:p>
    <w:p w14:paraId="670E0E53">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黑体" w:hAnsi="黑体" w:eastAsia="黑体" w:cs="黑体"/>
          <w:kern w:val="0"/>
          <w:sz w:val="32"/>
          <w:szCs w:val="32"/>
          <w:u w:val="none" w:color="auto"/>
        </w:rPr>
        <w:t>第四部分 决算公开联系方式及信息反馈渠道</w:t>
      </w:r>
    </w:p>
    <w:p w14:paraId="79289101">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黑体" w:hAnsi="黑体" w:eastAsia="黑体" w:cs="黑体"/>
          <w:kern w:val="0"/>
          <w:sz w:val="32"/>
          <w:szCs w:val="32"/>
          <w:u w:val="none" w:color="auto"/>
        </w:rPr>
        <w:t>第五部分 部门（单位）决算表</w:t>
      </w:r>
    </w:p>
    <w:p w14:paraId="43E22706">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一、收入支出决算总表</w:t>
      </w:r>
    </w:p>
    <w:p w14:paraId="4BD4D84D">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二、收入决算表</w:t>
      </w:r>
    </w:p>
    <w:p w14:paraId="26B5F577">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三、支出决算表</w:t>
      </w:r>
    </w:p>
    <w:p w14:paraId="3ADF3531">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四、财政拨款收入支出决算总表</w:t>
      </w:r>
    </w:p>
    <w:p w14:paraId="0493D522">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五、一般公共预算财政拨款支出决算表</w:t>
      </w:r>
    </w:p>
    <w:p w14:paraId="0F25E097">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六、一般公共预算财政拨款基本支出决算明细表</w:t>
      </w:r>
    </w:p>
    <w:p w14:paraId="38E711FD">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七、一般公共预算财政拨款项目支出决算明细表</w:t>
      </w:r>
    </w:p>
    <w:p w14:paraId="2613518C">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八、政府性基金预算财政拨款收入支出决算表</w:t>
      </w:r>
    </w:p>
    <w:p w14:paraId="1FA2CC71">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九、国有资本经营预算财政拨款收入支出决算表</w:t>
      </w:r>
    </w:p>
    <w:p w14:paraId="24725369">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十、财政拨款“三公”经费支出决算表</w:t>
      </w:r>
    </w:p>
    <w:p w14:paraId="4757B107">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十一、机关运行经费支出、国有资产占用情况及政府采购支出信息表</w:t>
      </w:r>
    </w:p>
    <w:p w14:paraId="7098EC3E">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p>
    <w:p w14:paraId="2BAA5F22">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p>
    <w:p w14:paraId="04BA0FE0">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p>
    <w:p w14:paraId="4A7D3B34">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p>
    <w:p w14:paraId="71045258">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p>
    <w:p w14:paraId="155FE3D4">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p>
    <w:p w14:paraId="7C771F02">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p>
    <w:p w14:paraId="6F2DC902">
      <w:pPr>
        <w:pStyle w:val="3"/>
        <w:keepNext w:val="0"/>
        <w:keepLines w:val="0"/>
        <w:pageBreakBefore w:val="0"/>
        <w:widowControl/>
        <w:kinsoku/>
        <w:wordWrap/>
        <w:overflowPunct/>
        <w:topLinePunct w:val="0"/>
        <w:autoSpaceDE/>
        <w:autoSpaceDN/>
        <w:bidi w:val="0"/>
        <w:spacing w:before="0" w:after="0" w:afterAutospacing="0" w:line="560" w:lineRule="exact"/>
        <w:jc w:val="both"/>
        <w:textAlignment w:val="auto"/>
        <w:rPr>
          <w:rFonts w:hint="eastAsia" w:ascii="fang_zheng_xiao_biao_song_ti" w:hAnsi="fang_zheng_xiao_biao_song_ti" w:eastAsia="宋体" w:cs="fang_zheng_xiao_biao_song_ti"/>
          <w:kern w:val="0"/>
          <w:sz w:val="32"/>
          <w:szCs w:val="32"/>
          <w:u w:val="none" w:color="auto"/>
          <w:lang w:eastAsia="zh-CN"/>
        </w:rPr>
      </w:pPr>
    </w:p>
    <w:p w14:paraId="2567E8AA">
      <w:pPr>
        <w:pStyle w:val="3"/>
        <w:keepNext w:val="0"/>
        <w:keepLines w:val="0"/>
        <w:pageBreakBefore w:val="0"/>
        <w:widowControl/>
        <w:kinsoku/>
        <w:wordWrap/>
        <w:overflowPunct/>
        <w:topLinePunct w:val="0"/>
        <w:autoSpaceDE/>
        <w:autoSpaceDN/>
        <w:bidi w:val="0"/>
        <w:spacing w:before="0" w:after="0" w:afterAutospacing="0" w:line="560" w:lineRule="exact"/>
        <w:jc w:val="center"/>
        <w:textAlignment w:val="auto"/>
        <w:rPr>
          <w:rFonts w:hint="eastAsia" w:ascii="方正小标宋简体" w:hAnsi="方正小标宋简体" w:eastAsia="方正小标宋简体" w:cs="方正小标宋简体"/>
          <w:b w:val="0"/>
          <w:bCs w:val="0"/>
          <w:kern w:val="0"/>
          <w:sz w:val="32"/>
          <w:szCs w:val="32"/>
          <w:u w:val="none" w:color="auto"/>
        </w:rPr>
      </w:pPr>
      <w:r>
        <w:rPr>
          <w:rFonts w:hint="eastAsia" w:ascii="方正小标宋简体" w:hAnsi="方正小标宋简体" w:eastAsia="方正小标宋简体" w:cs="方正小标宋简体"/>
          <w:b w:val="0"/>
          <w:bCs w:val="0"/>
          <w:kern w:val="0"/>
          <w:sz w:val="32"/>
          <w:szCs w:val="32"/>
          <w:u w:val="none" w:color="auto"/>
        </w:rPr>
        <w:t>第一部分 部门（单位）概况</w:t>
      </w:r>
    </w:p>
    <w:p w14:paraId="3B62F4C3">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黑体" w:hAnsi="黑体" w:eastAsia="黑体" w:cs="黑体"/>
          <w:b w:val="0"/>
          <w:bCs w:val="0"/>
          <w:kern w:val="0"/>
          <w:sz w:val="32"/>
          <w:szCs w:val="32"/>
          <w:u w:val="none" w:color="auto"/>
        </w:rPr>
      </w:pPr>
      <w:r>
        <w:rPr>
          <w:rFonts w:ascii="黑体" w:hAnsi="黑体" w:eastAsia="黑体" w:cs="黑体"/>
          <w:b w:val="0"/>
          <w:bCs w:val="0"/>
          <w:kern w:val="0"/>
          <w:sz w:val="32"/>
          <w:szCs w:val="32"/>
          <w:u w:val="none" w:color="auto"/>
        </w:rPr>
        <w:t xml:space="preserve"> 一、主要职能、职责</w:t>
      </w:r>
    </w:p>
    <w:p w14:paraId="7CED7C2F">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hint="eastAsia" w:ascii="仿宋_GB2312" w:hAnsi="仿宋_GB2312" w:eastAsia="仿宋_GB2312" w:cs="仿宋_GB2312"/>
          <w:color w:val="000000" w:themeColor="text1"/>
          <w:kern w:val="0"/>
          <w:sz w:val="32"/>
          <w:szCs w:val="32"/>
          <w:u w:val="none" w:color="auto"/>
        </w:rPr>
        <w:t>人民检察院通过行使国家检察权来完成自己的任务。依法查处公益诉讼类、民事行政类案件，依法开展扫黑除恶工作，对于 危害国</w:t>
      </w:r>
      <w:r>
        <w:rPr>
          <w:rFonts w:hint="eastAsia" w:ascii="仿宋_GB2312" w:hAnsi="仿宋_GB2312" w:eastAsia="仿宋_GB2312" w:cs="仿宋_GB2312"/>
          <w:kern w:val="0"/>
          <w:sz w:val="32"/>
          <w:szCs w:val="32"/>
          <w:u w:val="none" w:color="auto"/>
        </w:rPr>
        <w:t>家安全案、危害</w:t>
      </w:r>
      <w:r>
        <w:rPr>
          <w:rFonts w:hint="eastAsia" w:ascii="仿宋_GB2312" w:hAnsi="仿宋_GB2312" w:eastAsia="仿宋_GB2312" w:cs="仿宋_GB2312"/>
          <w:kern w:val="0"/>
          <w:sz w:val="32"/>
          <w:szCs w:val="32"/>
          <w:u w:val="none" w:color="auto"/>
          <w:lang w:val="en-US" w:eastAsia="zh-CN"/>
        </w:rPr>
        <w:t>公共</w:t>
      </w:r>
      <w:r>
        <w:rPr>
          <w:rFonts w:hint="eastAsia" w:ascii="仿宋_GB2312" w:hAnsi="仿宋_GB2312" w:eastAsia="仿宋_GB2312" w:cs="仿宋_GB2312"/>
          <w:kern w:val="0"/>
          <w:sz w:val="32"/>
          <w:szCs w:val="32"/>
          <w:u w:val="none" w:color="auto"/>
        </w:rPr>
        <w:t>安全案、侵犯公民人身权利民主权利 案和其他重大犯罪案件，行使检察权</w:t>
      </w:r>
      <w:r>
        <w:rPr>
          <w:rFonts w:hint="eastAsia" w:ascii="仿宋_GB2312" w:hAnsi="仿宋_GB2312" w:eastAsia="仿宋_GB2312" w:cs="仿宋_GB2312"/>
          <w:kern w:val="0"/>
          <w:sz w:val="32"/>
          <w:szCs w:val="32"/>
          <w:u w:val="none" w:color="auto"/>
          <w:lang w:eastAsia="zh-CN"/>
        </w:rPr>
        <w:t>；</w:t>
      </w:r>
      <w:r>
        <w:rPr>
          <w:rFonts w:hint="eastAsia" w:ascii="仿宋_GB2312" w:hAnsi="仿宋_GB2312" w:eastAsia="仿宋_GB2312" w:cs="仿宋_GB2312"/>
          <w:kern w:val="0"/>
          <w:sz w:val="32"/>
          <w:szCs w:val="32"/>
          <w:u w:val="none" w:color="auto"/>
        </w:rPr>
        <w:t>对于公安机关侦查的案件 进行审查，决定是否逮捕 、起诉或者免于起诉</w:t>
      </w:r>
      <w:r>
        <w:rPr>
          <w:rFonts w:hint="eastAsia" w:ascii="仿宋_GB2312" w:hAnsi="仿宋_GB2312" w:eastAsia="仿宋_GB2312" w:cs="仿宋_GB2312"/>
          <w:kern w:val="0"/>
          <w:sz w:val="32"/>
          <w:szCs w:val="32"/>
          <w:u w:val="none" w:color="auto"/>
          <w:lang w:eastAsia="zh-CN"/>
        </w:rPr>
        <w:t>；</w:t>
      </w:r>
      <w:r>
        <w:rPr>
          <w:rFonts w:hint="eastAsia" w:ascii="仿宋_GB2312" w:hAnsi="仿宋_GB2312" w:eastAsia="仿宋_GB2312" w:cs="仿宋_GB2312"/>
          <w:kern w:val="0"/>
          <w:sz w:val="32"/>
          <w:szCs w:val="32"/>
          <w:u w:val="none" w:color="auto"/>
        </w:rPr>
        <w:t>对于刑事案件提 起公诉 、支持公诉</w:t>
      </w:r>
      <w:r>
        <w:rPr>
          <w:rFonts w:hint="eastAsia" w:ascii="仿宋_GB2312" w:hAnsi="仿宋_GB2312" w:eastAsia="仿宋_GB2312" w:cs="仿宋_GB2312"/>
          <w:kern w:val="0"/>
          <w:sz w:val="32"/>
          <w:szCs w:val="32"/>
          <w:u w:val="none" w:color="auto"/>
          <w:lang w:eastAsia="zh-CN"/>
        </w:rPr>
        <w:t>；</w:t>
      </w:r>
      <w:r>
        <w:rPr>
          <w:rFonts w:hint="eastAsia" w:ascii="仿宋_GB2312" w:hAnsi="仿宋_GB2312" w:eastAsia="仿宋_GB2312" w:cs="仿宋_GB2312"/>
          <w:kern w:val="0"/>
          <w:sz w:val="32"/>
          <w:szCs w:val="32"/>
          <w:u w:val="none" w:color="auto"/>
        </w:rPr>
        <w:t>对于公安机关 、人民法院和监狱 、看守所 、 劳动改造机关的活动是否合法，实行监督职能。</w:t>
      </w:r>
    </w:p>
    <w:p w14:paraId="0A23171E">
      <w:pPr>
        <w:keepNext w:val="0"/>
        <w:keepLines w:val="0"/>
        <w:pageBreakBefore w:val="0"/>
        <w:widowControl/>
        <w:numPr>
          <w:ilvl w:val="0"/>
          <w:numId w:val="0"/>
        </w:numPr>
        <w:kinsoku/>
        <w:wordWrap/>
        <w:overflowPunct/>
        <w:topLinePunct w:val="0"/>
        <w:autoSpaceDE/>
        <w:autoSpaceDN/>
        <w:bidi w:val="0"/>
        <w:spacing w:afterAutospacing="0" w:line="560" w:lineRule="exact"/>
        <w:ind w:firstLine="640" w:firstLineChars="200"/>
        <w:jc w:val="left"/>
        <w:textAlignment w:val="auto"/>
        <w:rPr>
          <w:rFonts w:ascii="黑体" w:hAnsi="黑体" w:eastAsia="黑体" w:cs="黑体"/>
          <w:b w:val="0"/>
          <w:bCs w:val="0"/>
          <w:kern w:val="0"/>
          <w:sz w:val="32"/>
          <w:szCs w:val="32"/>
          <w:u w:val="none" w:color="auto"/>
        </w:rPr>
      </w:pPr>
      <w:r>
        <w:rPr>
          <w:rFonts w:hint="eastAsia" w:ascii="黑体" w:hAnsi="黑体" w:eastAsia="黑体" w:cs="黑体"/>
          <w:b w:val="0"/>
          <w:bCs w:val="0"/>
          <w:kern w:val="0"/>
          <w:sz w:val="32"/>
          <w:szCs w:val="32"/>
          <w:u w:color="auto"/>
          <w:lang w:val="en-US" w:eastAsia="zh-CN" w:bidi="ar-SA"/>
        </w:rPr>
        <w:t>二、</w:t>
      </w:r>
      <w:r>
        <w:rPr>
          <w:rFonts w:ascii="黑体" w:hAnsi="黑体" w:eastAsia="黑体" w:cs="黑体"/>
          <w:b w:val="0"/>
          <w:bCs w:val="0"/>
          <w:kern w:val="0"/>
          <w:sz w:val="32"/>
          <w:szCs w:val="32"/>
          <w:u w:val="none" w:color="auto"/>
        </w:rPr>
        <w:t>部门（单位）机构设置及决算单位构成情况</w:t>
      </w:r>
    </w:p>
    <w:p w14:paraId="1558C10E">
      <w:pPr>
        <w:keepNext w:val="0"/>
        <w:keepLines w:val="0"/>
        <w:pageBreakBefore w:val="0"/>
        <w:widowControl/>
        <w:numPr>
          <w:ilvl w:val="0"/>
          <w:numId w:val="0"/>
        </w:numPr>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hint="eastAsia" w:eastAsia="Times New Roman" w:cs="Times New Roman"/>
          <w:kern w:val="0"/>
          <w:sz w:val="32"/>
          <w:szCs w:val="32"/>
          <w:u w:val="none" w:color="auto"/>
          <w:lang w:val="en-US" w:eastAsia="zh-CN" w:bidi="ar-SA"/>
        </w:rPr>
        <w:t>1.</w:t>
      </w:r>
      <w:r>
        <w:rPr>
          <w:rFonts w:hint="eastAsia" w:ascii="仿宋_GB2312" w:hAnsi="仿宋_GB2312" w:eastAsia="仿宋_GB2312" w:cs="仿宋_GB2312"/>
          <w:color w:val="000000" w:themeColor="text1"/>
          <w:kern w:val="0"/>
          <w:sz w:val="32"/>
          <w:szCs w:val="32"/>
          <w:u w:val="none" w:color="auto"/>
          <w:lang w:eastAsia="zh-CN"/>
        </w:rPr>
        <w:t>机构情况：</w:t>
      </w:r>
      <w:r>
        <w:rPr>
          <w:rFonts w:hint="eastAsia" w:ascii="仿宋_GB2312" w:hAnsi="仿宋_GB2312" w:eastAsia="仿宋_GB2312" w:cs="仿宋_GB2312"/>
          <w:color w:val="000000" w:themeColor="text1"/>
          <w:kern w:val="0"/>
          <w:sz w:val="32"/>
          <w:szCs w:val="32"/>
          <w:u w:val="none" w:color="auto"/>
        </w:rPr>
        <w:t>本单位多伦县人民检察院，一级预算单位 ， 报表类型为：单户表。根据司法体制改革需求调整机构设置，内 设机构改革实行</w:t>
      </w:r>
      <w:r>
        <w:rPr>
          <w:rFonts w:hint="eastAsia" w:ascii="仿宋_GB2312" w:hAnsi="仿宋_GB2312" w:eastAsia="仿宋_GB2312" w:cs="仿宋_GB2312"/>
          <w:color w:val="000000" w:themeColor="text1"/>
          <w:kern w:val="0"/>
          <w:sz w:val="32"/>
          <w:szCs w:val="32"/>
          <w:u w:val="none" w:color="auto"/>
          <w:lang w:val="en-US" w:eastAsia="zh-CN"/>
        </w:rPr>
        <w:t>“ 3+2”</w:t>
      </w:r>
      <w:r>
        <w:rPr>
          <w:rFonts w:hint="eastAsia" w:ascii="仿宋_GB2312" w:hAnsi="仿宋_GB2312" w:eastAsia="仿宋_GB2312" w:cs="仿宋_GB2312"/>
          <w:color w:val="000000" w:themeColor="text1"/>
          <w:kern w:val="0"/>
          <w:sz w:val="32"/>
          <w:szCs w:val="32"/>
          <w:u w:val="none" w:color="auto"/>
        </w:rPr>
        <w:t>模式，即：内设第一检察部 、 第二检察部 、第三检察部 、办公室 、政治部 ，下设机构司法警察 大队。</w:t>
      </w:r>
      <w:r>
        <w:rPr>
          <w:rFonts w:hint="eastAsia" w:ascii="仿宋_GB2312" w:hAnsi="仿宋_GB2312" w:eastAsia="仿宋_GB2312" w:cs="仿宋_GB2312"/>
          <w:color w:val="000000" w:themeColor="text1"/>
          <w:kern w:val="0"/>
          <w:sz w:val="32"/>
          <w:szCs w:val="32"/>
          <w:u w:val="none" w:color="auto"/>
          <w:lang w:val="en-US" w:eastAsia="zh-CN"/>
        </w:rPr>
        <w:t>注：</w:t>
      </w:r>
      <w:r>
        <w:rPr>
          <w:rFonts w:hint="eastAsia" w:ascii="仿宋_GB2312" w:hAnsi="仿宋_GB2312" w:eastAsia="仿宋_GB2312" w:cs="仿宋_GB2312"/>
          <w:color w:val="000000" w:themeColor="text1"/>
          <w:kern w:val="0"/>
          <w:sz w:val="32"/>
          <w:szCs w:val="32"/>
          <w:u w:val="none" w:color="auto"/>
        </w:rPr>
        <w:t>本单位无下属单位</w:t>
      </w:r>
      <w:r>
        <w:rPr>
          <w:rFonts w:hint="eastAsia" w:ascii="仿宋_GB2312" w:hAnsi="仿宋_GB2312" w:eastAsia="仿宋_GB2312" w:cs="仿宋_GB2312"/>
          <w:color w:val="000000" w:themeColor="text1"/>
          <w:kern w:val="0"/>
          <w:sz w:val="32"/>
          <w:szCs w:val="32"/>
          <w:u w:val="none" w:color="auto"/>
          <w:lang w:eastAsia="zh-CN"/>
        </w:rPr>
        <w:t>。</w:t>
      </w:r>
    </w:p>
    <w:p w14:paraId="446B9DF3">
      <w:pPr>
        <w:keepNext w:val="0"/>
        <w:keepLines w:val="0"/>
        <w:pageBreakBefore w:val="0"/>
        <w:widowControl/>
        <w:numPr>
          <w:ilvl w:val="0"/>
          <w:numId w:val="0"/>
        </w:numPr>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hint="eastAsia" w:eastAsia="Times New Roman" w:cs="Times New Roman"/>
          <w:kern w:val="0"/>
          <w:sz w:val="32"/>
          <w:szCs w:val="32"/>
          <w:u w:val="none" w:color="auto"/>
          <w:lang w:val="en-US" w:eastAsia="zh-CN" w:bidi="ar-SA"/>
        </w:rPr>
        <w:t>2.</w:t>
      </w:r>
      <w:r>
        <w:rPr>
          <w:rFonts w:ascii="仿宋_GB2312" w:hAnsi="仿宋_GB2312" w:eastAsia="仿宋_GB2312" w:cs="仿宋_GB2312"/>
          <w:kern w:val="0"/>
          <w:sz w:val="32"/>
          <w:szCs w:val="32"/>
          <w:u w:val="none" w:color="auto"/>
        </w:rPr>
        <w:t>从决算单位构成看，纳入本部门（单位）决算编制范围的预算单位共计</w:t>
      </w:r>
      <w:r>
        <w:rPr>
          <w:rFonts w:hint="eastAsia" w:ascii="仿宋_GB2312" w:hAnsi="仿宋_GB2312" w:eastAsia="仿宋_GB2312" w:cs="仿宋_GB2312"/>
          <w:kern w:val="0"/>
          <w:sz w:val="32"/>
          <w:szCs w:val="32"/>
          <w:u w:val="none" w:color="auto"/>
          <w:lang w:val="en-US" w:eastAsia="zh-CN"/>
        </w:rPr>
        <w:t>1</w:t>
      </w:r>
      <w:r>
        <w:rPr>
          <w:rFonts w:ascii="仿宋_GB2312" w:hAnsi="仿宋_GB2312" w:eastAsia="仿宋_GB2312" w:cs="仿宋_GB2312"/>
          <w:kern w:val="0"/>
          <w:sz w:val="32"/>
          <w:szCs w:val="32"/>
          <w:u w:val="none" w:color="auto"/>
        </w:rPr>
        <w:t>家，具体</w:t>
      </w:r>
      <w:r>
        <w:rPr>
          <w:rFonts w:hint="eastAsia" w:ascii="仿宋_GB2312" w:hAnsi="仿宋_GB2312" w:eastAsia="仿宋_GB2312" w:cs="仿宋_GB2312"/>
          <w:kern w:val="0"/>
          <w:sz w:val="32"/>
          <w:szCs w:val="32"/>
          <w:u w:val="none" w:color="auto"/>
          <w:lang w:val="en-US" w:eastAsia="zh-CN"/>
        </w:rPr>
        <w:t>为多伦县人民检察院</w:t>
      </w:r>
      <w:r>
        <w:rPr>
          <w:rFonts w:ascii="仿宋_GB2312" w:hAnsi="仿宋_GB2312" w:eastAsia="仿宋_GB2312" w:cs="仿宋_GB2312"/>
          <w:kern w:val="0"/>
          <w:sz w:val="32"/>
          <w:szCs w:val="32"/>
          <w:u w:val="none" w:color="auto"/>
        </w:rPr>
        <w:t>。详细情况</w:t>
      </w:r>
      <w:r>
        <w:rPr>
          <w:rFonts w:hint="eastAsia" w:ascii="仿宋_GB2312" w:hAnsi="仿宋_GB2312" w:eastAsia="仿宋_GB2312" w:cs="仿宋_GB2312"/>
          <w:kern w:val="0"/>
          <w:sz w:val="32"/>
          <w:szCs w:val="32"/>
          <w:u w:val="none" w:color="auto"/>
          <w:lang w:eastAsia="zh-CN"/>
        </w:rPr>
        <w:t>见下</w:t>
      </w:r>
      <w:r>
        <w:rPr>
          <w:rFonts w:ascii="仿宋_GB2312" w:hAnsi="仿宋_GB2312" w:eastAsia="仿宋_GB2312" w:cs="仿宋_GB2312"/>
          <w:kern w:val="0"/>
          <w:sz w:val="32"/>
          <w:szCs w:val="32"/>
          <w:u w:val="none" w:color="auto"/>
        </w:rPr>
        <w:t>表：</w:t>
      </w:r>
    </w:p>
    <w:tbl>
      <w:tblPr>
        <w:tblStyle w:val="18"/>
        <w:tblW w:w="6878"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566"/>
        <w:gridCol w:w="3172"/>
        <w:gridCol w:w="3140"/>
      </w:tblGrid>
      <w:tr w14:paraId="540A84A0">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566" w:type="dxa"/>
            <w:tcBorders>
              <w:bottom w:val="inset" w:color="808080" w:sz="6" w:space="0"/>
              <w:right w:val="inset" w:color="808080" w:sz="6" w:space="0"/>
            </w:tcBorders>
            <w:noWrap w:val="0"/>
            <w:tcMar>
              <w:top w:w="22" w:type="dxa"/>
              <w:left w:w="22" w:type="dxa"/>
              <w:bottom w:w="22" w:type="dxa"/>
              <w:right w:w="22" w:type="dxa"/>
            </w:tcMar>
            <w:vAlign w:val="center"/>
          </w:tcPr>
          <w:p w14:paraId="2B98D9E0">
            <w:pPr>
              <w:keepNext w:val="0"/>
              <w:keepLines w:val="0"/>
              <w:pageBreakBefore w:val="0"/>
              <w:widowControl/>
              <w:kinsoku/>
              <w:wordWrap/>
              <w:overflowPunct/>
              <w:topLinePunct w:val="0"/>
              <w:autoSpaceDE/>
              <w:autoSpaceDN/>
              <w:bidi w:val="0"/>
              <w:spacing w:afterAutospacing="0" w:line="560" w:lineRule="exact"/>
              <w:jc w:val="center"/>
              <w:textAlignment w:val="auto"/>
              <w:rPr>
                <w:rFonts w:ascii="Times New Roman" w:hAnsi="Times New Roman" w:eastAsia="Times New Roman" w:cs="Times New Roman"/>
                <w:b w:val="0"/>
                <w:bCs w:val="0"/>
                <w:i w:val="0"/>
                <w:iCs w:val="0"/>
                <w:smallCaps w:val="0"/>
                <w:color w:val="000000"/>
                <w:kern w:val="0"/>
                <w:sz w:val="24"/>
                <w:u w:val="none" w:color="auto"/>
              </w:rPr>
            </w:pPr>
            <w:r>
              <w:rPr>
                <w:rFonts w:ascii="fang_song_gb2312" w:hAnsi="fang_song_gb2312" w:eastAsia="fang_song_gb2312" w:cs="fang_song_gb2312"/>
                <w:b w:val="0"/>
                <w:bCs w:val="0"/>
                <w:i w:val="0"/>
                <w:iCs w:val="0"/>
                <w:smallCaps w:val="0"/>
                <w:color w:val="000000"/>
                <w:kern w:val="0"/>
                <w:sz w:val="24"/>
                <w:u w:val="none" w:color="auto"/>
              </w:rPr>
              <w:t>序号</w:t>
            </w:r>
          </w:p>
        </w:tc>
        <w:tc>
          <w:tcPr>
            <w:tcW w:w="3172" w:type="dxa"/>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0959789">
            <w:pPr>
              <w:keepNext w:val="0"/>
              <w:keepLines w:val="0"/>
              <w:pageBreakBefore w:val="0"/>
              <w:widowControl/>
              <w:kinsoku/>
              <w:wordWrap/>
              <w:overflowPunct/>
              <w:topLinePunct w:val="0"/>
              <w:autoSpaceDE/>
              <w:autoSpaceDN/>
              <w:bidi w:val="0"/>
              <w:spacing w:afterAutospacing="0" w:line="560" w:lineRule="exact"/>
              <w:jc w:val="center"/>
              <w:textAlignment w:val="auto"/>
              <w:rPr>
                <w:rFonts w:ascii="Times New Roman" w:hAnsi="Times New Roman" w:eastAsia="Times New Roman" w:cs="Times New Roman"/>
                <w:b w:val="0"/>
                <w:bCs w:val="0"/>
                <w:i w:val="0"/>
                <w:iCs w:val="0"/>
                <w:smallCaps w:val="0"/>
                <w:color w:val="000000"/>
                <w:kern w:val="0"/>
                <w:sz w:val="24"/>
                <w:u w:val="none" w:color="auto"/>
              </w:rPr>
            </w:pPr>
            <w:r>
              <w:rPr>
                <w:rFonts w:ascii="fang_song_gb2312" w:hAnsi="fang_song_gb2312" w:eastAsia="fang_song_gb2312" w:cs="fang_song_gb2312"/>
                <w:b w:val="0"/>
                <w:bCs w:val="0"/>
                <w:i w:val="0"/>
                <w:iCs w:val="0"/>
                <w:smallCaps w:val="0"/>
                <w:color w:val="000000"/>
                <w:kern w:val="0"/>
                <w:sz w:val="24"/>
                <w:u w:val="none" w:color="auto"/>
              </w:rPr>
              <w:t>单位名称</w:t>
            </w:r>
          </w:p>
        </w:tc>
        <w:tc>
          <w:tcPr>
            <w:tcW w:w="3140" w:type="dxa"/>
            <w:tcBorders>
              <w:left w:val="inset" w:color="808080" w:sz="6" w:space="0"/>
              <w:bottom w:val="inset" w:color="808080" w:sz="6" w:space="0"/>
            </w:tcBorders>
            <w:noWrap w:val="0"/>
            <w:tcMar>
              <w:top w:w="22" w:type="dxa"/>
              <w:left w:w="22" w:type="dxa"/>
              <w:bottom w:w="22" w:type="dxa"/>
              <w:right w:w="22" w:type="dxa"/>
            </w:tcMar>
            <w:vAlign w:val="center"/>
          </w:tcPr>
          <w:p w14:paraId="62859FDD">
            <w:pPr>
              <w:keepNext w:val="0"/>
              <w:keepLines w:val="0"/>
              <w:pageBreakBefore w:val="0"/>
              <w:widowControl/>
              <w:kinsoku/>
              <w:wordWrap/>
              <w:overflowPunct/>
              <w:topLinePunct w:val="0"/>
              <w:autoSpaceDE/>
              <w:autoSpaceDN/>
              <w:bidi w:val="0"/>
              <w:spacing w:afterAutospacing="0" w:line="560" w:lineRule="exact"/>
              <w:jc w:val="center"/>
              <w:textAlignment w:val="auto"/>
              <w:rPr>
                <w:rFonts w:ascii="Times New Roman" w:hAnsi="Times New Roman" w:eastAsia="Times New Roman" w:cs="Times New Roman"/>
                <w:b w:val="0"/>
                <w:bCs w:val="0"/>
                <w:i w:val="0"/>
                <w:iCs w:val="0"/>
                <w:smallCaps w:val="0"/>
                <w:color w:val="000000"/>
                <w:kern w:val="0"/>
                <w:sz w:val="24"/>
                <w:u w:val="none" w:color="auto"/>
              </w:rPr>
            </w:pPr>
            <w:r>
              <w:rPr>
                <w:rFonts w:ascii="fang_song_gb2312" w:hAnsi="fang_song_gb2312" w:eastAsia="fang_song_gb2312" w:cs="fang_song_gb2312"/>
                <w:b w:val="0"/>
                <w:bCs w:val="0"/>
                <w:i w:val="0"/>
                <w:iCs w:val="0"/>
                <w:smallCaps w:val="0"/>
                <w:color w:val="000000"/>
                <w:kern w:val="0"/>
                <w:sz w:val="24"/>
                <w:u w:val="none" w:color="auto"/>
              </w:rPr>
              <w:t>单位性质</w:t>
            </w:r>
          </w:p>
        </w:tc>
      </w:tr>
      <w:tr w14:paraId="153B5983">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566" w:type="dxa"/>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1E8A604">
            <w:pPr>
              <w:keepNext w:val="0"/>
              <w:keepLines w:val="0"/>
              <w:pageBreakBefore w:val="0"/>
              <w:widowControl/>
              <w:kinsoku/>
              <w:wordWrap/>
              <w:overflowPunct/>
              <w:topLinePunct w:val="0"/>
              <w:autoSpaceDE/>
              <w:autoSpaceDN/>
              <w:bidi w:val="0"/>
              <w:spacing w:afterAutospacing="0" w:line="560" w:lineRule="exact"/>
              <w:jc w:val="center"/>
              <w:textAlignment w:val="auto"/>
              <w:rPr>
                <w:rFonts w:ascii="Times New Roman" w:hAnsi="Times New Roman" w:eastAsia="Times New Roman" w:cs="Times New Roman"/>
                <w:b w:val="0"/>
                <w:bCs w:val="0"/>
                <w:i w:val="0"/>
                <w:iCs w:val="0"/>
                <w:smallCaps w:val="0"/>
                <w:color w:val="000000"/>
                <w:kern w:val="0"/>
                <w:sz w:val="24"/>
                <w:u w:val="none" w:color="auto"/>
              </w:rPr>
            </w:pPr>
            <w:r>
              <w:rPr>
                <w:rFonts w:ascii="fang_song_gb2312" w:hAnsi="fang_song_gb2312" w:eastAsia="fang_song_gb2312" w:cs="fang_song_gb2312"/>
                <w:b w:val="0"/>
                <w:bCs w:val="0"/>
                <w:i w:val="0"/>
                <w:iCs w:val="0"/>
                <w:smallCaps w:val="0"/>
                <w:color w:val="000000"/>
                <w:kern w:val="0"/>
                <w:sz w:val="24"/>
                <w:u w:val="none" w:color="auto"/>
              </w:rPr>
              <w:t>1</w:t>
            </w:r>
          </w:p>
        </w:tc>
        <w:tc>
          <w:tcPr>
            <w:tcW w:w="3172"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73F54F1">
            <w:pPr>
              <w:keepNext w:val="0"/>
              <w:keepLines w:val="0"/>
              <w:pageBreakBefore w:val="0"/>
              <w:widowControl/>
              <w:kinsoku/>
              <w:wordWrap/>
              <w:overflowPunct/>
              <w:topLinePunct w:val="0"/>
              <w:autoSpaceDE/>
              <w:autoSpaceDN/>
              <w:bidi w:val="0"/>
              <w:spacing w:afterAutospacing="0" w:line="560" w:lineRule="exact"/>
              <w:jc w:val="left"/>
              <w:textAlignment w:val="auto"/>
              <w:rPr>
                <w:rFonts w:hint="eastAsia" w:ascii="Times New Roman" w:hAnsi="Times New Roman" w:eastAsia="宋体" w:cs="Times New Roman"/>
                <w:b w:val="0"/>
                <w:bCs w:val="0"/>
                <w:i w:val="0"/>
                <w:iCs w:val="0"/>
                <w:smallCaps w:val="0"/>
                <w:color w:val="000000"/>
                <w:kern w:val="0"/>
                <w:sz w:val="24"/>
                <w:u w:val="none" w:color="auto"/>
                <w:lang w:eastAsia="zh-CN"/>
              </w:rPr>
            </w:pPr>
            <w:r>
              <w:rPr>
                <w:rFonts w:hint="eastAsia" w:ascii="fang_song_gb2312" w:hAnsi="fang_song_gb2312" w:cs="fang_song_gb2312"/>
                <w:b w:val="0"/>
                <w:bCs w:val="0"/>
                <w:i w:val="0"/>
                <w:iCs w:val="0"/>
                <w:smallCaps w:val="0"/>
                <w:color w:val="000000"/>
                <w:kern w:val="0"/>
                <w:sz w:val="24"/>
                <w:u w:val="none" w:color="auto"/>
                <w:lang w:eastAsia="zh-CN"/>
              </w:rPr>
              <w:t>多伦县人民检察院</w:t>
            </w:r>
          </w:p>
        </w:tc>
        <w:tc>
          <w:tcPr>
            <w:tcW w:w="3140" w:type="dxa"/>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1D2663E8">
            <w:pPr>
              <w:keepNext w:val="0"/>
              <w:keepLines w:val="0"/>
              <w:pageBreakBefore w:val="0"/>
              <w:widowControl/>
              <w:kinsoku/>
              <w:wordWrap/>
              <w:overflowPunct/>
              <w:topLinePunct w:val="0"/>
              <w:autoSpaceDE/>
              <w:autoSpaceDN/>
              <w:bidi w:val="0"/>
              <w:spacing w:afterAutospacing="0" w:line="560" w:lineRule="exact"/>
              <w:jc w:val="left"/>
              <w:textAlignment w:val="auto"/>
              <w:rPr>
                <w:rFonts w:ascii="Times New Roman" w:hAnsi="Times New Roman" w:eastAsia="Times New Roman" w:cs="Times New Roman"/>
                <w:b w:val="0"/>
                <w:bCs w:val="0"/>
                <w:i w:val="0"/>
                <w:iCs w:val="0"/>
                <w:smallCaps w:val="0"/>
                <w:color w:val="000000"/>
                <w:kern w:val="0"/>
                <w:sz w:val="24"/>
                <w:u w:val="none" w:color="auto"/>
              </w:rPr>
            </w:pPr>
            <w:r>
              <w:rPr>
                <w:rFonts w:ascii="fang_song_gb2312" w:hAnsi="fang_song_gb2312" w:eastAsia="fang_song_gb2312" w:cs="fang_song_gb2312"/>
                <w:b w:val="0"/>
                <w:bCs w:val="0"/>
                <w:i w:val="0"/>
                <w:iCs w:val="0"/>
                <w:smallCaps w:val="0"/>
                <w:color w:val="000000"/>
                <w:kern w:val="0"/>
                <w:sz w:val="24"/>
                <w:u w:val="none" w:color="auto"/>
              </w:rPr>
              <w:t>财政拨款的行政单位</w:t>
            </w:r>
          </w:p>
        </w:tc>
      </w:tr>
    </w:tbl>
    <w:p w14:paraId="5B212D22">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b w:val="0"/>
          <w:bCs w:val="0"/>
          <w:kern w:val="0"/>
          <w:sz w:val="32"/>
          <w:szCs w:val="32"/>
          <w:u w:val="none" w:color="auto"/>
        </w:rPr>
      </w:pPr>
      <w:r>
        <w:rPr>
          <w:rFonts w:ascii="黑体" w:hAnsi="黑体" w:eastAsia="黑体" w:cs="黑体"/>
          <w:b w:val="0"/>
          <w:bCs w:val="0"/>
          <w:kern w:val="0"/>
          <w:sz w:val="32"/>
          <w:szCs w:val="32"/>
          <w:u w:val="none" w:color="auto"/>
        </w:rPr>
        <w:t>三、2024年度部门（单位）主要工作完成情况</w:t>
      </w:r>
    </w:p>
    <w:p w14:paraId="53BE6367">
      <w:pPr>
        <w:keepNext w:val="0"/>
        <w:keepLines w:val="0"/>
        <w:pageBreakBefore w:val="0"/>
        <w:kinsoku/>
        <w:wordWrap/>
        <w:overflowPunct/>
        <w:topLinePunct w:val="0"/>
        <w:autoSpaceDE/>
        <w:autoSpaceDN/>
        <w:bidi w:val="0"/>
        <w:spacing w:afterAutospacing="0" w:line="560" w:lineRule="exact"/>
        <w:contextualSpacing/>
        <w:jc w:val="both"/>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   </w:t>
      </w:r>
      <w:r>
        <w:rPr>
          <w:rFonts w:hint="eastAsia" w:ascii="仿宋_GB2312" w:hAnsi="仿宋_GB2312" w:eastAsia="仿宋_GB2312" w:cs="仿宋_GB2312"/>
          <w:color w:val="auto"/>
          <w:sz w:val="32"/>
          <w:szCs w:val="32"/>
          <w:u w:val="none" w:color="auto"/>
        </w:rPr>
        <w:t>　2024年，多伦县人民检察院以习近平新时代中国特色社会主义思想为指导，全面贯彻党的二十大精神，落实《中共中央关于加强新时代检察机关法律监督工作的意见》，紧紧围绕县委、县政府及上级检察机关部署，忠实履行宪法法律赋予的职责</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kern w:val="0"/>
          <w:sz w:val="32"/>
          <w:szCs w:val="32"/>
          <w:u w:val="none" w:color="auto"/>
          <w:lang w:val="en-US" w:eastAsia="zh-CN"/>
        </w:rPr>
        <w:t>领导班子自觉围绕中心、服务大局，认真贯彻落实盟委各项决策部署 ，紧紧围绕工作大局 ，忠实履行宪法和法律赋予的职责，各项检察工作取得长足发展。</w:t>
      </w:r>
      <w:r>
        <w:rPr>
          <w:rFonts w:hint="eastAsia" w:ascii="仿宋_GB2312" w:hAnsi="仿宋_GB2312" w:eastAsia="仿宋_GB2312" w:cs="仿宋_GB2312"/>
          <w:color w:val="auto"/>
          <w:sz w:val="32"/>
          <w:szCs w:val="32"/>
          <w:u w:val="none" w:color="auto"/>
        </w:rPr>
        <w:t>以“三个善于”为引领，聚焦“两件大事”“六个工程”，忠实</w:t>
      </w:r>
      <w:r>
        <w:rPr>
          <w:rFonts w:hint="eastAsia" w:ascii="仿宋_GB2312" w:hAnsi="仿宋_GB2312" w:eastAsia="仿宋_GB2312" w:cs="仿宋_GB2312"/>
          <w:color w:val="auto"/>
          <w:sz w:val="32"/>
          <w:szCs w:val="32"/>
          <w:u w:val="none" w:color="auto"/>
          <w:lang w:val="en-US" w:eastAsia="zh-CN"/>
        </w:rPr>
        <w:t>践</w:t>
      </w:r>
      <w:r>
        <w:rPr>
          <w:rFonts w:hint="eastAsia" w:ascii="仿宋_GB2312" w:hAnsi="仿宋_GB2312" w:eastAsia="仿宋_GB2312" w:cs="仿宋_GB2312"/>
          <w:color w:val="auto"/>
          <w:sz w:val="32"/>
          <w:szCs w:val="32"/>
          <w:u w:val="none" w:color="auto"/>
        </w:rPr>
        <w:t>行法律监督职责，高质效办好每一个案件，为新时代新多伦建设提供有力法治保障。一年来，共办各类案件414件，同比上升26.61%。</w:t>
      </w:r>
    </w:p>
    <w:p w14:paraId="6BB5E0E6">
      <w:pPr>
        <w:pStyle w:val="3"/>
        <w:keepNext w:val="0"/>
        <w:keepLines w:val="0"/>
        <w:pageBreakBefore w:val="0"/>
        <w:widowControl/>
        <w:kinsoku/>
        <w:wordWrap/>
        <w:overflowPunct/>
        <w:topLinePunct w:val="0"/>
        <w:autoSpaceDE/>
        <w:autoSpaceDN/>
        <w:bidi w:val="0"/>
        <w:spacing w:before="0" w:after="0" w:afterAutospacing="0" w:line="560" w:lineRule="exact"/>
        <w:jc w:val="center"/>
        <w:textAlignment w:val="auto"/>
        <w:rPr>
          <w:rFonts w:hint="eastAsia" w:ascii="方正小标宋简体" w:hAnsi="方正小标宋简体" w:eastAsia="方正小标宋简体" w:cs="方正小标宋简体"/>
          <w:b w:val="0"/>
          <w:bCs w:val="0"/>
          <w:kern w:val="0"/>
          <w:sz w:val="32"/>
          <w:szCs w:val="32"/>
          <w:u w:val="none" w:color="auto"/>
        </w:rPr>
      </w:pPr>
      <w:r>
        <w:rPr>
          <w:rFonts w:hint="eastAsia" w:ascii="方正小标宋简体" w:hAnsi="方正小标宋简体" w:eastAsia="方正小标宋简体" w:cs="方正小标宋简体"/>
          <w:b w:val="0"/>
          <w:bCs w:val="0"/>
          <w:kern w:val="0"/>
          <w:sz w:val="32"/>
          <w:szCs w:val="32"/>
          <w:u w:val="none" w:color="auto"/>
        </w:rPr>
        <w:t>第二部分 部门（单位）决算情况说明</w:t>
      </w:r>
    </w:p>
    <w:p w14:paraId="507FC074">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b w:val="0"/>
          <w:bCs w:val="0"/>
          <w:kern w:val="0"/>
          <w:sz w:val="32"/>
          <w:szCs w:val="32"/>
          <w:u w:val="none" w:color="auto"/>
        </w:rPr>
      </w:pPr>
      <w:r>
        <w:rPr>
          <w:rFonts w:ascii="黑体" w:hAnsi="黑体" w:eastAsia="黑体" w:cs="黑体"/>
          <w:b w:val="0"/>
          <w:bCs w:val="0"/>
          <w:kern w:val="0"/>
          <w:sz w:val="32"/>
          <w:szCs w:val="32"/>
          <w:u w:val="none" w:color="auto"/>
        </w:rPr>
        <w:t>一、收入支出决算总体情况说明</w:t>
      </w:r>
    </w:p>
    <w:p w14:paraId="3C74ADB8">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kern w:val="0"/>
          <w:sz w:val="32"/>
          <w:szCs w:val="32"/>
          <w:u w:val="none" w:color="auto"/>
        </w:rPr>
        <w:t> </w:t>
      </w:r>
      <w:r>
        <w:rPr>
          <w:rFonts w:ascii="仿宋_GB2312" w:hAnsi="仿宋_GB2312" w:eastAsia="仿宋_GB2312" w:cs="仿宋_GB2312"/>
          <w:color w:val="000000"/>
          <w:kern w:val="0"/>
          <w:sz w:val="32"/>
          <w:szCs w:val="32"/>
          <w:u w:val="none" w:color="auto"/>
        </w:rPr>
        <w:t>多伦县人民检察院 2024 年度收入、支出决算总计均为 910.48 万元。与年初预算相比，收、支总计各减少 64.68 万元，下降 6.63%，变动原因：严格执行 “过紧日子” 要求，压缩非必要项目经费；与上年决算相比，收、支总计各减少 129.61 万元，下降 12.46%，变动原因：上年结转资金减少及部分非经常性支出取消。其中：</w:t>
      </w:r>
    </w:p>
    <w:p w14:paraId="69B04D80">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eastAsia" w:ascii="楷体_GB2312" w:hAnsi="楷体_GB2312" w:eastAsia="楷体_GB2312" w:cs="楷体_GB2312"/>
          <w:b w:val="0"/>
          <w:bCs w:val="0"/>
          <w:kern w:val="0"/>
          <w:sz w:val="32"/>
          <w:szCs w:val="32"/>
          <w:u w:val="none" w:color="auto"/>
        </w:rPr>
      </w:pPr>
      <w:r>
        <w:rPr>
          <w:rFonts w:hint="eastAsia" w:ascii="楷体_GB2312" w:hAnsi="楷体_GB2312" w:eastAsia="楷体_GB2312" w:cs="楷体_GB2312"/>
          <w:b w:val="0"/>
          <w:bCs w:val="0"/>
          <w:color w:val="000000"/>
          <w:kern w:val="0"/>
          <w:sz w:val="32"/>
          <w:szCs w:val="32"/>
          <w:u w:val="none" w:color="auto"/>
        </w:rPr>
        <w:t>（一）收入决算总计 910.48万元。包括：</w:t>
      </w:r>
    </w:p>
    <w:p w14:paraId="08B75DCC">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color w:val="000000"/>
          <w:kern w:val="0"/>
          <w:sz w:val="32"/>
          <w:szCs w:val="32"/>
          <w:u w:val="none" w:color="auto"/>
        </w:rPr>
        <w:t> 本年收入决算合计 870.81 万元。与上年决算相比，减少 131.58 万元，下降 13.13%，变动原因：退休人员社保外工资发放减少，人员调整导致工资性支出下降。</w:t>
      </w:r>
    </w:p>
    <w:p w14:paraId="7EB48748">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使用非财政拨款结余（含专用结余）0 万元。与上年决算相比，无变化，变动原因：本部门无非财政拨款结余和专用结余。</w:t>
      </w:r>
    </w:p>
    <w:p w14:paraId="5C1EC372">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年初结转和结余 39.67 万元。与上年决算相比，增加 1.97 万元，增长 5.22%，变动原因：2023 年末未支付的工会经费结转至本年。</w:t>
      </w:r>
    </w:p>
    <w:p w14:paraId="1386515D">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eastAsia" w:ascii="楷体_GB2312" w:hAnsi="楷体_GB2312" w:eastAsia="楷体_GB2312" w:cs="楷体_GB2312"/>
          <w:b w:val="0"/>
          <w:bCs w:val="0"/>
          <w:color w:val="000000"/>
          <w:kern w:val="0"/>
          <w:sz w:val="32"/>
          <w:szCs w:val="32"/>
          <w:u w:val="none" w:color="auto"/>
        </w:rPr>
      </w:pPr>
      <w:r>
        <w:rPr>
          <w:rFonts w:hint="eastAsia" w:ascii="楷体_GB2312" w:hAnsi="楷体_GB2312" w:eastAsia="楷体_GB2312" w:cs="楷体_GB2312"/>
          <w:b w:val="0"/>
          <w:bCs w:val="0"/>
          <w:color w:val="000000"/>
          <w:kern w:val="0"/>
          <w:sz w:val="32"/>
          <w:szCs w:val="32"/>
          <w:u w:val="none" w:color="auto"/>
        </w:rPr>
        <w:t>    （二）支出决算总计 910.48万元。包括：</w:t>
      </w:r>
    </w:p>
    <w:p w14:paraId="4C98578E">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本年支出决算合计 873.05 万元。与上年决算相比，减少 127.86 万元，下降 12.77%，变动原因：严格控制公用经费，压减非必要支出。</w:t>
      </w:r>
    </w:p>
    <w:p w14:paraId="20F138ED">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结余分配 0 万元。结余分配事项：无结余分配事项。与上年决算相比，无变化，变动原因：本部门无结余分配需求。</w:t>
      </w:r>
    </w:p>
    <w:p w14:paraId="5B2C70F7">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hint="default" w:ascii="仿宋_GB2312" w:hAnsi="仿宋_GB2312" w:eastAsia="仿宋_GB2312" w:cs="仿宋_GB2312"/>
          <w:color w:val="000000"/>
          <w:kern w:val="0"/>
          <w:sz w:val="32"/>
          <w:szCs w:val="32"/>
          <w:u w:val="none" w:color="auto"/>
        </w:rPr>
        <w:t>年末结转和结余 37.43 万元。结转和结余事项：在职人员社会保险金、未支付的工会经费等。与上年决算相比，减少 1.75 万元，下降 4.47%，变动原因：加快资金支付进度，减少沉淀资金。</w:t>
      </w:r>
    </w:p>
    <w:p w14:paraId="0AC09E5A">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b w:val="0"/>
          <w:bCs w:val="0"/>
          <w:kern w:val="0"/>
          <w:sz w:val="32"/>
          <w:szCs w:val="32"/>
          <w:u w:val="none" w:color="auto"/>
        </w:rPr>
      </w:pP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 xml:space="preserve"> </w:t>
      </w: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 xml:space="preserve"> 二、收入决算情况说明</w:t>
      </w:r>
    </w:p>
    <w:p w14:paraId="32AB55C2">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ascii="仿宋_GB2312" w:hAnsi="仿宋_GB2312" w:eastAsia="仿宋_GB2312" w:cs="仿宋_GB2312"/>
          <w:kern w:val="0"/>
          <w:sz w:val="32"/>
          <w:szCs w:val="32"/>
          <w:u w:val="none" w:color="auto"/>
        </w:rPr>
        <w:t xml:space="preserve">    </w:t>
      </w:r>
      <w:r>
        <w:rPr>
          <w:rFonts w:hint="default" w:ascii="仿宋_GB2312" w:hAnsi="仿宋_GB2312" w:eastAsia="仿宋_GB2312" w:cs="仿宋_GB2312"/>
          <w:color w:val="000000"/>
          <w:kern w:val="0"/>
          <w:sz w:val="32"/>
          <w:szCs w:val="32"/>
          <w:u w:val="none" w:color="auto"/>
        </w:rPr>
        <w:t>多伦县人民检察院 2024年度本年收入决算合计 870.81万元，其中：</w:t>
      </w:r>
    </w:p>
    <w:p w14:paraId="02064897">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本年一般公共预算财政拨款收入 852.08万元，占 97.85%；</w:t>
      </w:r>
    </w:p>
    <w:p w14:paraId="1B6385D1">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本年政府性基金预算财政拨款收入 0万元，占 0%；</w:t>
      </w:r>
    </w:p>
    <w:p w14:paraId="4CE1F57E">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本年国有资本经营预算财政拨款收入 0万元，占 0%；</w:t>
      </w:r>
    </w:p>
    <w:p w14:paraId="5C519DD6">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本年上级补助收入 0万元，占 0%；</w:t>
      </w:r>
    </w:p>
    <w:p w14:paraId="106319C7">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本年事业收入 0万元，占 0%；</w:t>
      </w:r>
    </w:p>
    <w:p w14:paraId="0D8163C2">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本年经营收入 0万元，占 0%；</w:t>
      </w:r>
    </w:p>
    <w:p w14:paraId="4F0F7340">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本年附属单位上缴收入 0万元，占 0%；</w:t>
      </w:r>
    </w:p>
    <w:p w14:paraId="346B3CAC">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本年其他收入 18.73万元，占 2.15%。</w:t>
      </w:r>
    </w:p>
    <w:p w14:paraId="3783FD32">
      <w:pPr>
        <w:keepNext w:val="0"/>
        <w:keepLines w:val="0"/>
        <w:pageBreakBefore w:val="0"/>
        <w:widowControl/>
        <w:kinsoku/>
        <w:wordWrap/>
        <w:overflowPunct/>
        <w:topLinePunct w:val="0"/>
        <w:autoSpaceDE/>
        <w:autoSpaceDN/>
        <w:bidi w:val="0"/>
        <w:spacing w:afterAutospacing="0" w:line="560" w:lineRule="exact"/>
        <w:ind w:firstLine="640" w:firstLineChars="200"/>
        <w:jc w:val="center"/>
        <w:textAlignment w:val="auto"/>
        <w:rPr>
          <w:rFonts w:ascii="仿宋_GB2312" w:hAnsi="仿宋_GB2312" w:eastAsia="仿宋_GB2312" w:cs="仿宋_GB2312"/>
          <w:kern w:val="0"/>
          <w:sz w:val="32"/>
          <w:szCs w:val="32"/>
          <w:u w:val="none" w:color="auto"/>
        </w:rPr>
      </w:pPr>
      <w:r>
        <w:rPr>
          <w:rFonts w:ascii="Times New Roman" w:hAnsi="Times New Roman" w:eastAsia="Times New Roman" w:cs="Times New Roman"/>
          <w:strike w:val="0"/>
          <w:kern w:val="0"/>
          <w:sz w:val="32"/>
          <w:szCs w:val="32"/>
          <w:u w:val="none" w:color="auto"/>
        </w:rPr>
        <w:drawing>
          <wp:anchor distT="0" distB="0" distL="114300" distR="114300" simplePos="0" relativeHeight="251659264" behindDoc="0" locked="0" layoutInCell="1" allowOverlap="1">
            <wp:simplePos x="0" y="0"/>
            <wp:positionH relativeFrom="column">
              <wp:posOffset>934085</wp:posOffset>
            </wp:positionH>
            <wp:positionV relativeFrom="paragraph">
              <wp:posOffset>175895</wp:posOffset>
            </wp:positionV>
            <wp:extent cx="4268470" cy="2668905"/>
            <wp:effectExtent l="0" t="0" r="17780" b="17145"/>
            <wp:wrapTopAndBottom/>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4268470" cy="2668905"/>
                    </a:xfrm>
                    <a:prstGeom prst="rect">
                      <a:avLst/>
                    </a:prstGeom>
                    <a:noFill/>
                    <a:ln>
                      <a:noFill/>
                    </a:ln>
                  </pic:spPr>
                </pic:pic>
              </a:graphicData>
            </a:graphic>
          </wp:anchor>
        </w:drawing>
      </w:r>
    </w:p>
    <w:p w14:paraId="3A2DE58D">
      <w:pPr>
        <w:keepNext w:val="0"/>
        <w:keepLines w:val="0"/>
        <w:pageBreakBefore w:val="0"/>
        <w:widowControl/>
        <w:kinsoku/>
        <w:wordWrap/>
        <w:overflowPunct/>
        <w:topLinePunct w:val="0"/>
        <w:autoSpaceDE/>
        <w:autoSpaceDN/>
        <w:bidi w:val="0"/>
        <w:spacing w:afterAutospacing="0" w:line="560" w:lineRule="exact"/>
        <w:ind w:firstLine="640" w:firstLineChars="200"/>
        <w:jc w:val="center"/>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图</w:t>
      </w:r>
      <w:r>
        <w:rPr>
          <w:rFonts w:ascii="times_new_roman" w:hAnsi="times_new_roman" w:eastAsia="times_new_roman" w:cs="times_new_roman"/>
          <w:kern w:val="0"/>
          <w:sz w:val="32"/>
          <w:szCs w:val="32"/>
          <w:u w:val="none" w:color="auto"/>
        </w:rPr>
        <w:t>1</w:t>
      </w:r>
      <w:r>
        <w:rPr>
          <w:rFonts w:ascii="仿宋_GB2312" w:hAnsi="仿宋_GB2312" w:eastAsia="仿宋_GB2312" w:cs="仿宋_GB2312"/>
          <w:kern w:val="0"/>
          <w:sz w:val="32"/>
          <w:szCs w:val="32"/>
          <w:u w:val="none" w:color="auto"/>
        </w:rPr>
        <w:t>.收入决算图</w:t>
      </w:r>
    </w:p>
    <w:p w14:paraId="3997AF76">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b w:val="0"/>
          <w:bCs w:val="0"/>
          <w:kern w:val="0"/>
          <w:sz w:val="32"/>
          <w:szCs w:val="32"/>
          <w:u w:val="none" w:color="auto"/>
        </w:rPr>
      </w:pP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 xml:space="preserve"> </w:t>
      </w: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 xml:space="preserve"> 三、支出决算情况说明</w:t>
      </w:r>
    </w:p>
    <w:p w14:paraId="11E13CA4">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ascii="仿宋_GB2312" w:hAnsi="仿宋_GB2312" w:eastAsia="仿宋_GB2312" w:cs="仿宋_GB2312"/>
          <w:kern w:val="0"/>
          <w:sz w:val="32"/>
          <w:szCs w:val="32"/>
          <w:u w:val="none" w:color="auto"/>
        </w:rPr>
        <w:t>   </w:t>
      </w:r>
      <w:r>
        <w:rPr>
          <w:rFonts w:hint="default" w:ascii="仿宋_GB2312" w:hAnsi="仿宋_GB2312" w:eastAsia="仿宋_GB2312" w:cs="仿宋_GB2312"/>
          <w:color w:val="000000"/>
          <w:kern w:val="0"/>
          <w:sz w:val="32"/>
          <w:szCs w:val="32"/>
          <w:u w:val="none" w:color="auto"/>
        </w:rPr>
        <w:t xml:space="preserve"> 多伦县人民检察院 2024年度本年支出决算合计 873.05万元，其中：</w:t>
      </w:r>
    </w:p>
    <w:p w14:paraId="3891332D">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本年基本支出 675.02万元，占 77.32%；</w:t>
      </w:r>
    </w:p>
    <w:p w14:paraId="4B60F562">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本年项目支出 198.03万元，占 22.68%；</w:t>
      </w:r>
    </w:p>
    <w:p w14:paraId="3F66F26E">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本年上缴上级支出 0万元，占 0%；</w:t>
      </w:r>
    </w:p>
    <w:p w14:paraId="091D9119">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本年经营支出 0万元，占 0%；</w:t>
      </w:r>
    </w:p>
    <w:p w14:paraId="08D095A4">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本年对附属单位补助支出 0万元，占 0%。</w:t>
      </w:r>
    </w:p>
    <w:p w14:paraId="1EA1FCB3">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ascii="Times New Roman" w:hAnsi="Times New Roman" w:eastAsia="Times New Roman" w:cs="Times New Roman"/>
          <w:strike w:val="0"/>
          <w:kern w:val="0"/>
          <w:sz w:val="32"/>
          <w:szCs w:val="32"/>
          <w:u w:val="none" w:color="auto"/>
        </w:rPr>
        <w:pict>
          <v:shape id="_x0000_s1026" o:spid="_x0000_s1026" o:spt="75" alt="" type="#_x0000_t75" style="position:absolute;left:0pt;margin-left:83.2pt;margin-top:24.8pt;height:201.8pt;width:322.85pt;mso-wrap-distance-bottom:0pt;mso-wrap-distance-top:0pt;z-index:251660288;mso-width-relative:page;mso-height-relative:page;" filled="f" o:preferrelative="t" stroked="f" coordsize="21600,21600">
            <v:path/>
            <v:fill on="f" focussize="0,0"/>
            <v:stroke on="f"/>
            <v:imagedata r:id="rId7" o:title=""/>
            <o:lock v:ext="edit" aspectratio="t"/>
            <w10:wrap type="topAndBottom"/>
          </v:shape>
        </w:pict>
      </w:r>
      <w:r>
        <w:rPr>
          <w:rFonts w:ascii="仿宋_GB2312" w:hAnsi="仿宋_GB2312" w:eastAsia="仿宋_GB2312" w:cs="仿宋_GB2312"/>
          <w:color w:val="0E00FE"/>
          <w:kern w:val="0"/>
          <w:sz w:val="32"/>
          <w:szCs w:val="32"/>
          <w:u w:val="none" w:color="auto"/>
        </w:rPr>
        <w:t xml:space="preserve">    </w:t>
      </w:r>
      <w:r>
        <w:rPr>
          <w:rFonts w:ascii="Times New Roman" w:hAnsi="Times New Roman" w:eastAsia="Times New Roman" w:cs="Times New Roman"/>
          <w:kern w:val="0"/>
          <w:sz w:val="32"/>
          <w:szCs w:val="32"/>
          <w:u w:val="none" w:color="auto"/>
        </w:rPr>
        <w:t xml:space="preserve">  </w:t>
      </w:r>
    </w:p>
    <w:p w14:paraId="731D0AED">
      <w:pPr>
        <w:keepNext w:val="0"/>
        <w:keepLines w:val="0"/>
        <w:pageBreakBefore w:val="0"/>
        <w:widowControl/>
        <w:kinsoku/>
        <w:wordWrap/>
        <w:overflowPunct/>
        <w:topLinePunct w:val="0"/>
        <w:autoSpaceDE/>
        <w:autoSpaceDN/>
        <w:bidi w:val="0"/>
        <w:spacing w:afterAutospacing="0" w:line="560" w:lineRule="exact"/>
        <w:ind w:firstLine="640" w:firstLineChars="200"/>
        <w:jc w:val="center"/>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图2.支出决算图</w:t>
      </w:r>
    </w:p>
    <w:p w14:paraId="2BA244B0">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p>
    <w:p w14:paraId="7F4C19E4">
      <w:pPr>
        <w:keepNext w:val="0"/>
        <w:keepLines w:val="0"/>
        <w:pageBreakBefore w:val="0"/>
        <w:widowControl/>
        <w:numPr>
          <w:ilvl w:val="0"/>
          <w:numId w:val="0"/>
        </w:numPr>
        <w:kinsoku/>
        <w:wordWrap/>
        <w:overflowPunct/>
        <w:topLinePunct w:val="0"/>
        <w:autoSpaceDE/>
        <w:autoSpaceDN/>
        <w:bidi w:val="0"/>
        <w:spacing w:afterAutospacing="0" w:line="560" w:lineRule="exact"/>
        <w:ind w:left="393" w:leftChars="0" w:firstLine="640" w:firstLineChars="200"/>
        <w:jc w:val="left"/>
        <w:textAlignment w:val="auto"/>
        <w:rPr>
          <w:rFonts w:ascii="黑体" w:hAnsi="黑体" w:eastAsia="黑体" w:cs="黑体"/>
          <w:b w:val="0"/>
          <w:bCs w:val="0"/>
          <w:kern w:val="0"/>
          <w:sz w:val="32"/>
          <w:szCs w:val="32"/>
          <w:u w:val="none" w:color="auto"/>
        </w:rPr>
      </w:pPr>
      <w:r>
        <w:rPr>
          <w:rFonts w:hint="eastAsia" w:ascii="黑体" w:hAnsi="黑体" w:eastAsia="黑体" w:cs="黑体"/>
          <w:b w:val="0"/>
          <w:bCs w:val="0"/>
          <w:kern w:val="0"/>
          <w:sz w:val="32"/>
          <w:szCs w:val="32"/>
          <w:u w:color="auto"/>
          <w:lang w:val="en-US" w:eastAsia="zh-CN" w:bidi="ar-SA"/>
        </w:rPr>
        <w:t>四、</w:t>
      </w:r>
      <w:r>
        <w:rPr>
          <w:rFonts w:ascii="黑体" w:hAnsi="黑体" w:eastAsia="黑体" w:cs="黑体"/>
          <w:b w:val="0"/>
          <w:bCs w:val="0"/>
          <w:kern w:val="0"/>
          <w:sz w:val="32"/>
          <w:szCs w:val="32"/>
          <w:u w:val="none" w:color="auto"/>
        </w:rPr>
        <w:t>财政拨款收入支出决算总体情况说明</w:t>
      </w:r>
    </w:p>
    <w:p w14:paraId="1CC522E3">
      <w:pPr>
        <w:keepNext w:val="0"/>
        <w:keepLines w:val="0"/>
        <w:pageBreakBefore w:val="0"/>
        <w:widowControl/>
        <w:numPr>
          <w:numId w:val="0"/>
        </w:numPr>
        <w:kinsoku/>
        <w:wordWrap/>
        <w:overflowPunct/>
        <w:topLinePunct w:val="0"/>
        <w:autoSpaceDE/>
        <w:autoSpaceDN/>
        <w:bidi w:val="0"/>
        <w:spacing w:afterAutospacing="0" w:line="560" w:lineRule="exact"/>
        <w:ind w:firstLine="960" w:firstLineChars="3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color w:val="000000"/>
          <w:kern w:val="0"/>
          <w:sz w:val="32"/>
          <w:szCs w:val="32"/>
          <w:u w:val="none" w:color="auto"/>
        </w:rPr>
        <w:t>多伦县人民检察院 2024 年度财政拨款收入、支出决算总计均为 891.75 万元，与年初预算相比，收、支总计各减少 83.41 万元，下降 8.55%，变动原因：财政压减部分项目预算；与上年决算相比，收、支总计各减少 126.85 万元，下降 12.45%，变动原因：</w:t>
      </w:r>
      <w:r>
        <w:rPr>
          <w:rFonts w:hint="eastAsia" w:ascii="仿宋_GB2312" w:hAnsi="仿宋_GB2312" w:eastAsia="仿宋_GB2312" w:cs="仿宋_GB2312"/>
          <w:color w:val="000000"/>
          <w:kern w:val="0"/>
          <w:sz w:val="32"/>
          <w:szCs w:val="32"/>
          <w:u w:val="none" w:color="auto"/>
          <w:lang w:val="en-US" w:eastAsia="zh-CN"/>
        </w:rPr>
        <w:t>退休人员增加</w:t>
      </w:r>
      <w:r>
        <w:rPr>
          <w:rFonts w:ascii="仿宋_GB2312" w:hAnsi="仿宋_GB2312" w:eastAsia="仿宋_GB2312" w:cs="仿宋_GB2312"/>
          <w:color w:val="000000"/>
          <w:kern w:val="0"/>
          <w:sz w:val="32"/>
          <w:szCs w:val="32"/>
          <w:u w:val="none" w:color="auto"/>
        </w:rPr>
        <w:t>，基本支出需求下降。</w:t>
      </w:r>
    </w:p>
    <w:p w14:paraId="4A6453BD">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b w:val="0"/>
          <w:bCs w:val="0"/>
          <w:kern w:val="0"/>
          <w:sz w:val="32"/>
          <w:szCs w:val="32"/>
          <w:u w:val="none" w:color="auto"/>
        </w:rPr>
      </w:pP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 xml:space="preserve"> </w:t>
      </w: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 xml:space="preserve"> 五、一般公共预算财政拨款支出决算情况说明</w:t>
      </w:r>
    </w:p>
    <w:p w14:paraId="341DEC1F">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kern w:val="0"/>
          <w:sz w:val="32"/>
          <w:szCs w:val="32"/>
          <w:u w:val="none" w:color="auto"/>
        </w:rPr>
        <w:t> </w:t>
      </w:r>
      <w:r>
        <w:rPr>
          <w:rFonts w:ascii="仿宋_GB2312" w:hAnsi="仿宋_GB2312" w:eastAsia="仿宋_GB2312" w:cs="仿宋_GB2312"/>
          <w:color w:val="000000"/>
          <w:kern w:val="0"/>
          <w:sz w:val="32"/>
          <w:szCs w:val="32"/>
          <w:u w:val="none" w:color="auto"/>
        </w:rPr>
        <w:t>多伦县人民检察院 2024年度一般公共预算财政拨款支出决算 854.57万元。与年初预算 975.16万元相比，完成年初预算的 87.63%。其中：</w:t>
      </w:r>
    </w:p>
    <w:p w14:paraId="7066718B">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eastAsia" w:ascii="楷体_GB2312" w:hAnsi="楷体_GB2312" w:eastAsia="楷体_GB2312" w:cs="楷体_GB2312"/>
          <w:b w:val="0"/>
          <w:bCs w:val="0"/>
          <w:kern w:val="0"/>
          <w:sz w:val="32"/>
          <w:szCs w:val="32"/>
          <w:u w:val="none" w:color="auto"/>
        </w:rPr>
      </w:pPr>
      <w:r>
        <w:rPr>
          <w:rFonts w:hint="eastAsia" w:ascii="楷体_GB2312" w:hAnsi="楷体_GB2312" w:eastAsia="楷体_GB2312" w:cs="楷体_GB2312"/>
          <w:b w:val="0"/>
          <w:bCs w:val="0"/>
          <w:color w:val="000000"/>
          <w:kern w:val="0"/>
          <w:sz w:val="32"/>
          <w:szCs w:val="32"/>
          <w:u w:val="none" w:color="auto"/>
        </w:rPr>
        <w:t>（一）一般公共服务（类）</w:t>
      </w:r>
    </w:p>
    <w:p w14:paraId="317504A0">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color w:val="000000"/>
          <w:kern w:val="0"/>
          <w:sz w:val="32"/>
          <w:szCs w:val="32"/>
          <w:u w:val="none" w:color="auto"/>
        </w:rPr>
        <w:t> 一般公共服务（类）决算数为 0 万元，与年初预算相比无变化。</w:t>
      </w:r>
    </w:p>
    <w:p w14:paraId="03061082">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eastAsia" w:ascii="楷体_GB2312" w:hAnsi="楷体_GB2312" w:eastAsia="楷体_GB2312" w:cs="楷体_GB2312"/>
          <w:b w:val="0"/>
          <w:bCs w:val="0"/>
          <w:color w:val="000000"/>
          <w:kern w:val="0"/>
          <w:sz w:val="32"/>
          <w:szCs w:val="32"/>
          <w:u w:val="none" w:color="auto"/>
        </w:rPr>
      </w:pPr>
      <w:r>
        <w:rPr>
          <w:rFonts w:hint="eastAsia" w:ascii="楷体_GB2312" w:hAnsi="楷体_GB2312" w:eastAsia="楷体_GB2312" w:cs="楷体_GB2312"/>
          <w:b w:val="0"/>
          <w:bCs w:val="0"/>
          <w:color w:val="000000"/>
          <w:kern w:val="0"/>
          <w:sz w:val="32"/>
          <w:szCs w:val="32"/>
          <w:u w:val="none" w:color="auto"/>
        </w:rPr>
        <w:t>（二）公共安全（类）</w:t>
      </w:r>
    </w:p>
    <w:p w14:paraId="4DE65FA8">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color w:val="000000"/>
          <w:kern w:val="0"/>
          <w:sz w:val="32"/>
          <w:szCs w:val="32"/>
          <w:u w:val="none" w:color="auto"/>
        </w:rPr>
        <w:t>公共安全（类）决算数为 731.28 万元，与年初预算相比减少 89.61 万元。其中：</w:t>
      </w:r>
    </w:p>
    <w:p w14:paraId="3F05D536">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color w:val="000000"/>
          <w:kern w:val="0"/>
          <w:sz w:val="32"/>
          <w:szCs w:val="32"/>
          <w:u w:val="none" w:color="auto"/>
        </w:rPr>
        <w:t>检察（款）行政运行（项）。年初预算 543.00 万元，支出决算 533.25 万元，完成年初预算的 98.20%。决算数与年初预算数的差异原因：部分公用经费因支付条件未达未支出。</w:t>
      </w:r>
    </w:p>
    <w:p w14:paraId="3DD52662">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检察（款）一般行政管理事务（项）。年初预算 207.40 万元，支出决算 197.63 万元，完成年初预算的 95.30%。决算数与年初预算数的差异原因：设备采购进度滞后，部分款项未支付。</w:t>
      </w:r>
    </w:p>
    <w:p w14:paraId="25575647">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default"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其他公共安全支出（款）国家司法救助支出（项）。年初预算 0.40 万元，支出决算 0.40 万元，完成年初预算的 100%。决算数与年初预算数无差异。</w:t>
      </w:r>
    </w:p>
    <w:p w14:paraId="111122C3">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eastAsia" w:ascii="楷体_GB2312" w:hAnsi="楷体_GB2312" w:eastAsia="楷体_GB2312" w:cs="楷体_GB2312"/>
          <w:b w:val="0"/>
          <w:bCs w:val="0"/>
          <w:color w:val="000000"/>
          <w:kern w:val="0"/>
          <w:sz w:val="32"/>
          <w:szCs w:val="32"/>
          <w:u w:val="none" w:color="auto"/>
        </w:rPr>
      </w:pPr>
      <w:r>
        <w:rPr>
          <w:rFonts w:hint="eastAsia" w:ascii="楷体_GB2312" w:hAnsi="楷体_GB2312" w:eastAsia="楷体_GB2312" w:cs="楷体_GB2312"/>
          <w:b w:val="0"/>
          <w:bCs w:val="0"/>
          <w:color w:val="000000"/>
          <w:kern w:val="0"/>
          <w:sz w:val="32"/>
          <w:szCs w:val="32"/>
          <w:u w:val="none" w:color="auto"/>
        </w:rPr>
        <w:t>（三）社会保障和就业支出（类）</w:t>
      </w:r>
    </w:p>
    <w:p w14:paraId="4CD4ECD6">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color w:val="000000"/>
          <w:kern w:val="0"/>
          <w:sz w:val="32"/>
          <w:szCs w:val="32"/>
          <w:u w:val="none" w:color="auto"/>
        </w:rPr>
        <w:t> 社会保障和就业支出（类）决算数为</w:t>
      </w:r>
      <w:r>
        <w:rPr>
          <w:rFonts w:ascii="times_new_roman" w:hAnsi="times_new_roman" w:eastAsia="times_new_roman" w:cs="times_new_roman"/>
          <w:color w:val="000000"/>
          <w:kern w:val="0"/>
          <w:sz w:val="32"/>
          <w:szCs w:val="32"/>
          <w:u w:val="none" w:color="auto"/>
        </w:rPr>
        <w:t> 64.95</w:t>
      </w:r>
      <w:r>
        <w:rPr>
          <w:rFonts w:ascii="仿宋_GB2312" w:hAnsi="仿宋_GB2312" w:eastAsia="仿宋_GB2312" w:cs="仿宋_GB2312"/>
          <w:color w:val="000000"/>
          <w:kern w:val="0"/>
          <w:sz w:val="32"/>
          <w:szCs w:val="32"/>
          <w:u w:val="none" w:color="auto"/>
        </w:rPr>
        <w:t>万元，与年初预算相比增加（减少）</w:t>
      </w:r>
      <w:r>
        <w:rPr>
          <w:rFonts w:ascii="times_new_roman" w:hAnsi="times_new_roman" w:eastAsia="times_new_roman" w:cs="times_new_roman"/>
          <w:color w:val="000000"/>
          <w:kern w:val="0"/>
          <w:sz w:val="32"/>
          <w:szCs w:val="32"/>
          <w:u w:val="none" w:color="auto"/>
        </w:rPr>
        <w:t xml:space="preserve"> -10.02</w:t>
      </w:r>
      <w:r>
        <w:rPr>
          <w:rFonts w:ascii="仿宋_GB2312" w:hAnsi="仿宋_GB2312" w:eastAsia="仿宋_GB2312" w:cs="仿宋_GB2312"/>
          <w:color w:val="000000"/>
          <w:kern w:val="0"/>
          <w:sz w:val="32"/>
          <w:szCs w:val="32"/>
          <w:u w:val="none" w:color="auto"/>
        </w:rPr>
        <w:t>万元。其中：</w:t>
      </w:r>
    </w:p>
    <w:p w14:paraId="74F62B23">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color w:val="000000"/>
          <w:kern w:val="0"/>
          <w:sz w:val="32"/>
          <w:szCs w:val="32"/>
          <w:u w:val="none" w:color="auto"/>
        </w:rPr>
        <w:t xml:space="preserve"> 行政事业单位养老支出（款）机关事业单位基本养老保险缴费支出（项）。年初预算 </w:t>
      </w:r>
      <w:r>
        <w:rPr>
          <w:rFonts w:hint="eastAsia" w:ascii="仿宋_GB2312" w:hAnsi="仿宋_GB2312" w:eastAsia="仿宋_GB2312" w:cs="仿宋_GB2312"/>
          <w:color w:val="000000"/>
          <w:kern w:val="0"/>
          <w:sz w:val="32"/>
          <w:szCs w:val="32"/>
          <w:u w:val="none" w:color="auto"/>
          <w:lang w:val="en-US" w:eastAsia="zh-CN"/>
        </w:rPr>
        <w:t>49.98</w:t>
      </w:r>
      <w:r>
        <w:rPr>
          <w:rFonts w:ascii="仿宋_GB2312" w:hAnsi="仿宋_GB2312" w:eastAsia="仿宋_GB2312" w:cs="仿宋_GB2312"/>
          <w:color w:val="000000"/>
          <w:kern w:val="0"/>
          <w:sz w:val="32"/>
          <w:szCs w:val="32"/>
          <w:u w:val="none" w:color="auto"/>
        </w:rPr>
        <w:t xml:space="preserve">万元，支出决算 43.30 万元，完成年初预算的 </w:t>
      </w:r>
      <w:r>
        <w:rPr>
          <w:rFonts w:hint="eastAsia" w:ascii="仿宋_GB2312" w:hAnsi="仿宋_GB2312" w:eastAsia="仿宋_GB2312" w:cs="仿宋_GB2312"/>
          <w:color w:val="000000"/>
          <w:kern w:val="0"/>
          <w:sz w:val="32"/>
          <w:szCs w:val="32"/>
          <w:u w:val="none" w:color="auto"/>
          <w:lang w:val="en-US" w:eastAsia="zh-CN"/>
        </w:rPr>
        <w:t>86.63</w:t>
      </w:r>
      <w:r>
        <w:rPr>
          <w:rFonts w:ascii="仿宋_GB2312" w:hAnsi="仿宋_GB2312" w:eastAsia="仿宋_GB2312" w:cs="仿宋_GB2312"/>
          <w:color w:val="000000"/>
          <w:kern w:val="0"/>
          <w:sz w:val="32"/>
          <w:szCs w:val="32"/>
          <w:u w:val="none" w:color="auto"/>
        </w:rPr>
        <w:t>%。决算数与年初预算数的差异原因：退休人员减少导致缴费基数下降。</w:t>
      </w:r>
    </w:p>
    <w:p w14:paraId="097F3519">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 xml:space="preserve">行政事业单位养老支出（款）机关事业单位职业年金缴费支出（项）。年初预算 </w:t>
      </w:r>
      <w:r>
        <w:rPr>
          <w:rFonts w:hint="eastAsia" w:ascii="仿宋_GB2312" w:hAnsi="仿宋_GB2312" w:eastAsia="仿宋_GB2312" w:cs="仿宋_GB2312"/>
          <w:color w:val="000000"/>
          <w:kern w:val="0"/>
          <w:sz w:val="32"/>
          <w:szCs w:val="32"/>
          <w:u w:val="none" w:color="auto"/>
          <w:lang w:val="en-US" w:eastAsia="zh-CN"/>
        </w:rPr>
        <w:t>24.99</w:t>
      </w:r>
      <w:r>
        <w:rPr>
          <w:rFonts w:hint="default" w:ascii="仿宋_GB2312" w:hAnsi="仿宋_GB2312" w:eastAsia="仿宋_GB2312" w:cs="仿宋_GB2312"/>
          <w:color w:val="000000"/>
          <w:kern w:val="0"/>
          <w:sz w:val="32"/>
          <w:szCs w:val="32"/>
          <w:u w:val="none" w:color="auto"/>
        </w:rPr>
        <w:t xml:space="preserve"> 万元，支出决算 21.65 万元，完成年初预算的 </w:t>
      </w:r>
      <w:r>
        <w:rPr>
          <w:rFonts w:hint="eastAsia" w:ascii="仿宋_GB2312" w:hAnsi="仿宋_GB2312" w:eastAsia="仿宋_GB2312" w:cs="仿宋_GB2312"/>
          <w:color w:val="000000"/>
          <w:kern w:val="0"/>
          <w:sz w:val="32"/>
          <w:szCs w:val="32"/>
          <w:u w:val="none" w:color="auto"/>
          <w:lang w:val="en-US" w:eastAsia="zh-CN"/>
        </w:rPr>
        <w:t>86.63</w:t>
      </w:r>
      <w:r>
        <w:rPr>
          <w:rFonts w:hint="default" w:ascii="仿宋_GB2312" w:hAnsi="仿宋_GB2312" w:eastAsia="仿宋_GB2312" w:cs="仿宋_GB2312"/>
          <w:color w:val="000000"/>
          <w:kern w:val="0"/>
          <w:sz w:val="32"/>
          <w:szCs w:val="32"/>
          <w:u w:val="none" w:color="auto"/>
        </w:rPr>
        <w:t>%。决算数与年初预算数的差异原因：同上。</w:t>
      </w:r>
    </w:p>
    <w:p w14:paraId="757D6C21">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eastAsia" w:ascii="楷体_GB2312" w:hAnsi="楷体_GB2312" w:eastAsia="楷体_GB2312" w:cs="楷体_GB2312"/>
          <w:b w:val="0"/>
          <w:bCs w:val="0"/>
          <w:color w:val="000000"/>
          <w:kern w:val="0"/>
          <w:sz w:val="32"/>
          <w:szCs w:val="32"/>
          <w:u w:val="none" w:color="auto"/>
        </w:rPr>
      </w:pPr>
      <w:r>
        <w:rPr>
          <w:rFonts w:hint="eastAsia" w:ascii="楷体_GB2312" w:hAnsi="楷体_GB2312" w:eastAsia="楷体_GB2312" w:cs="楷体_GB2312"/>
          <w:b w:val="0"/>
          <w:bCs w:val="0"/>
          <w:color w:val="000000"/>
          <w:kern w:val="0"/>
          <w:sz w:val="32"/>
          <w:szCs w:val="32"/>
          <w:u w:val="none" w:color="auto"/>
        </w:rPr>
        <w:t>（四）卫生健康支出（类）</w:t>
      </w:r>
    </w:p>
    <w:p w14:paraId="0E7F4264">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color w:val="000000"/>
          <w:kern w:val="0"/>
          <w:sz w:val="32"/>
          <w:szCs w:val="32"/>
          <w:u w:val="none" w:color="auto"/>
        </w:rPr>
        <w:t> </w:t>
      </w:r>
      <w:r>
        <w:rPr>
          <w:rFonts w:hint="default" w:ascii="仿宋_GB2312" w:hAnsi="仿宋_GB2312" w:eastAsia="仿宋_GB2312" w:cs="仿宋_GB2312"/>
          <w:color w:val="000000"/>
          <w:kern w:val="0"/>
          <w:sz w:val="32"/>
          <w:szCs w:val="32"/>
          <w:u w:val="none" w:color="auto"/>
          <w:lang w:val="en-US" w:eastAsia="zh-CN"/>
        </w:rPr>
        <w:t>卫生健康支出（类）决算数为 16.43 万元，与年初预算相比减少 5.26 万元。其中：</w:t>
      </w:r>
    </w:p>
    <w:p w14:paraId="335B55F4">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hint="default" w:ascii="仿宋_GB2312" w:hAnsi="仿宋_GB2312" w:eastAsia="仿宋_GB2312" w:cs="仿宋_GB2312"/>
          <w:color w:val="000000"/>
          <w:kern w:val="0"/>
          <w:sz w:val="32"/>
          <w:szCs w:val="32"/>
          <w:u w:val="none" w:color="auto"/>
        </w:rPr>
        <w:t>行政事业单位医疗（款）行政单位医疗（项）。年初预算 21.69 万元，支出决算 16.43 万元，完成年初预算的 75.75%。决算数与年初预算数的差异原因：退休人员医疗保险停缴。</w:t>
      </w:r>
    </w:p>
    <w:p w14:paraId="3BD40994">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eastAsia" w:ascii="楷体_GB2312" w:hAnsi="楷体_GB2312" w:eastAsia="楷体_GB2312" w:cs="楷体_GB2312"/>
          <w:b w:val="0"/>
          <w:bCs w:val="0"/>
          <w:color w:val="000000"/>
          <w:kern w:val="0"/>
          <w:sz w:val="32"/>
          <w:szCs w:val="32"/>
          <w:u w:val="none" w:color="auto"/>
        </w:rPr>
      </w:pPr>
      <w:r>
        <w:rPr>
          <w:rFonts w:hint="eastAsia" w:ascii="楷体_GB2312" w:hAnsi="楷体_GB2312" w:eastAsia="楷体_GB2312" w:cs="楷体_GB2312"/>
          <w:b w:val="0"/>
          <w:bCs w:val="0"/>
          <w:color w:val="000000"/>
          <w:kern w:val="0"/>
          <w:sz w:val="32"/>
          <w:szCs w:val="32"/>
          <w:u w:val="none" w:color="auto"/>
        </w:rPr>
        <w:t>（五）住房保障支出（类）</w:t>
      </w:r>
    </w:p>
    <w:p w14:paraId="2365E77C">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color w:val="000000"/>
          <w:kern w:val="0"/>
          <w:sz w:val="32"/>
          <w:szCs w:val="32"/>
          <w:u w:val="none" w:color="auto"/>
        </w:rPr>
        <w:t> </w:t>
      </w:r>
      <w:r>
        <w:rPr>
          <w:rFonts w:hint="default" w:ascii="仿宋_GB2312" w:hAnsi="仿宋_GB2312" w:eastAsia="仿宋_GB2312" w:cs="仿宋_GB2312"/>
          <w:color w:val="000000"/>
          <w:kern w:val="0"/>
          <w:sz w:val="32"/>
          <w:szCs w:val="32"/>
          <w:u w:val="none" w:color="auto"/>
          <w:lang w:val="en-US" w:eastAsia="zh-CN"/>
        </w:rPr>
        <w:t>住房保障支出（类）决算数为 41.92 万元，与年初预算相比减少 15.70 万元。其中：</w:t>
      </w:r>
    </w:p>
    <w:p w14:paraId="4D39B5E6">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住房改革支出（款）住房公积金（项）。年初预算 57.62 万元，支出决算 41.92 万元，完成年初预算的 72.75%。决算数与年初预算数的差异原因：人员调整导致缴费人数减少。</w:t>
      </w:r>
    </w:p>
    <w:p w14:paraId="1ECF4A54">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b w:val="0"/>
          <w:bCs w:val="0"/>
          <w:kern w:val="0"/>
          <w:sz w:val="32"/>
          <w:szCs w:val="32"/>
          <w:u w:val="none" w:color="auto"/>
        </w:rPr>
      </w:pP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 xml:space="preserve"> </w:t>
      </w: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 xml:space="preserve"> 六、一般公共预算财政拨款基本支出决算情况说明</w:t>
      </w:r>
    </w:p>
    <w:p w14:paraId="1D772C0D">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 </w:t>
      </w:r>
      <w:r>
        <w:rPr>
          <w:rFonts w:ascii="仿宋_GB2312" w:hAnsi="仿宋_GB2312" w:eastAsia="仿宋_GB2312" w:cs="仿宋_GB2312"/>
          <w:color w:val="000000"/>
          <w:kern w:val="0"/>
          <w:sz w:val="32"/>
          <w:szCs w:val="32"/>
          <w:u w:val="none" w:color="auto"/>
        </w:rPr>
        <w:t>多伦县人民检察院 2024年度一般公共预算财政拨款基本支出决算</w:t>
      </w:r>
      <w:r>
        <w:rPr>
          <w:rFonts w:ascii="times_new_roman" w:hAnsi="times_new_roman" w:eastAsia="times_new_roman" w:cs="times_new_roman"/>
          <w:color w:val="000000"/>
          <w:kern w:val="0"/>
          <w:sz w:val="32"/>
          <w:szCs w:val="32"/>
          <w:u w:val="none" w:color="auto"/>
        </w:rPr>
        <w:t> 656.54</w:t>
      </w:r>
      <w:r>
        <w:rPr>
          <w:rFonts w:ascii="仿宋_GB2312" w:hAnsi="仿宋_GB2312" w:eastAsia="仿宋_GB2312" w:cs="仿宋_GB2312"/>
          <w:color w:val="000000"/>
          <w:kern w:val="0"/>
          <w:sz w:val="32"/>
          <w:szCs w:val="32"/>
          <w:u w:val="none" w:color="auto"/>
        </w:rPr>
        <w:t>万元，其中：</w:t>
      </w:r>
    </w:p>
    <w:p w14:paraId="089A2FF8">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hint="eastAsia" w:ascii="楷体_GB2312" w:hAnsi="楷体_GB2312" w:eastAsia="楷体_GB2312" w:cs="楷体_GB2312"/>
          <w:b w:val="0"/>
          <w:bCs w:val="0"/>
          <w:color w:val="000000"/>
          <w:kern w:val="0"/>
          <w:sz w:val="32"/>
          <w:szCs w:val="32"/>
          <w:u w:val="none" w:color="auto"/>
        </w:rPr>
        <w:t>（一）人员经费 591.76万元。</w:t>
      </w:r>
      <w:r>
        <w:rPr>
          <w:rFonts w:ascii="仿宋_GB2312" w:hAnsi="仿宋_GB2312" w:eastAsia="仿宋_GB2312" w:cs="仿宋_GB2312"/>
          <w:color w:val="000000"/>
          <w:kern w:val="0"/>
          <w:sz w:val="32"/>
          <w:szCs w:val="32"/>
          <w:u w:val="none" w:color="auto"/>
        </w:rPr>
        <w:t>主要包括：基本工资 123.26 万元、津贴补贴 208.19 万元、奖金 31.29 万元、机关事业单位基本养老保险缴费 43.30 万元、职业年金缴费 21.65 万元、职工基本医疗保险缴费 16.43 万元、其他社会保障缴费 0.62 万元、住房公积金 41.92 万元、其他工资福利支出 105.12 万元。</w:t>
      </w:r>
    </w:p>
    <w:p w14:paraId="443A57A9">
      <w:pPr>
        <w:keepNext w:val="0"/>
        <w:keepLines w:val="0"/>
        <w:pageBreakBefore w:val="0"/>
        <w:widowControl/>
        <w:kinsoku/>
        <w:wordWrap/>
        <w:overflowPunct/>
        <w:topLinePunct w:val="0"/>
        <w:autoSpaceDE/>
        <w:autoSpaceDN/>
        <w:bidi w:val="0"/>
        <w:spacing w:afterAutospacing="0" w:line="560" w:lineRule="exact"/>
        <w:ind w:firstLine="320" w:firstLineChars="100"/>
        <w:textAlignment w:val="auto"/>
        <w:rPr>
          <w:rFonts w:ascii="Times New Roman" w:hAnsi="Times New Roman" w:eastAsia="Times New Roman" w:cs="Times New Roman"/>
          <w:kern w:val="0"/>
          <w:sz w:val="32"/>
          <w:szCs w:val="32"/>
          <w:u w:val="none" w:color="auto"/>
        </w:rPr>
      </w:pPr>
      <w:r>
        <w:rPr>
          <w:rFonts w:hint="eastAsia" w:ascii="楷体_GB2312" w:hAnsi="楷体_GB2312" w:eastAsia="楷体_GB2312" w:cs="楷体_GB2312"/>
          <w:b w:val="0"/>
          <w:bCs w:val="0"/>
          <w:color w:val="000000"/>
          <w:kern w:val="0"/>
          <w:sz w:val="32"/>
          <w:szCs w:val="32"/>
          <w:u w:val="none" w:color="auto"/>
        </w:rPr>
        <w:t xml:space="preserve"> （二）公用经费 64.78万元。</w:t>
      </w:r>
      <w:r>
        <w:rPr>
          <w:rFonts w:ascii="仿宋_GB2312" w:hAnsi="仿宋_GB2312" w:eastAsia="仿宋_GB2312" w:cs="仿宋_GB2312"/>
          <w:color w:val="000000"/>
          <w:kern w:val="0"/>
          <w:sz w:val="32"/>
          <w:szCs w:val="32"/>
          <w:u w:val="none" w:color="auto"/>
        </w:rPr>
        <w:t>主要包括：办公费 17.20 万元、水费 0.80 万元、电费 4.90 万元、公务接待费 0.11 万元、工会经费 11.11 万元、福利费 8.55 万元、公务用车运行维护费 2.99 万元、其他交通费用 19.13 万元</w:t>
      </w:r>
      <w:r>
        <w:rPr>
          <w:rFonts w:ascii="仿宋_GB2312" w:hAnsi="仿宋_GB2312" w:eastAsia="仿宋_GB2312" w:cs="仿宋_GB2312"/>
          <w:color w:val="0E00FE"/>
          <w:kern w:val="0"/>
          <w:sz w:val="32"/>
          <w:szCs w:val="32"/>
          <w:u w:val="none" w:color="auto"/>
        </w:rPr>
        <w:t xml:space="preserve">    </w:t>
      </w:r>
    </w:p>
    <w:p w14:paraId="08B7427F">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b w:val="0"/>
          <w:bCs w:val="0"/>
          <w:kern w:val="0"/>
          <w:sz w:val="32"/>
          <w:szCs w:val="32"/>
          <w:u w:val="none" w:color="auto"/>
        </w:rPr>
      </w:pP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 xml:space="preserve"> </w:t>
      </w: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 xml:space="preserve"> 七、一般公共预算财政拨款项目支出决算情况说明</w:t>
      </w:r>
    </w:p>
    <w:p w14:paraId="1CC85480">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color w:val="000000"/>
          <w:kern w:val="0"/>
          <w:sz w:val="32"/>
          <w:szCs w:val="32"/>
          <w:u w:val="none" w:color="auto"/>
        </w:rPr>
        <w:t>多伦县人民检察院 </w:t>
      </w:r>
      <w:r>
        <w:rPr>
          <w:rFonts w:ascii="times_new_roman" w:hAnsi="times_new_roman" w:eastAsia="times_new_roman" w:cs="times_new_roman"/>
          <w:color w:val="000000"/>
          <w:kern w:val="0"/>
          <w:sz w:val="32"/>
          <w:szCs w:val="32"/>
          <w:u w:val="none" w:color="auto"/>
        </w:rPr>
        <w:t>2024</w:t>
      </w:r>
      <w:r>
        <w:rPr>
          <w:rFonts w:ascii="仿宋_GB2312" w:hAnsi="仿宋_GB2312" w:eastAsia="仿宋_GB2312" w:cs="仿宋_GB2312"/>
          <w:color w:val="000000"/>
          <w:kern w:val="0"/>
          <w:sz w:val="32"/>
          <w:szCs w:val="32"/>
          <w:u w:val="none" w:color="auto"/>
        </w:rPr>
        <w:t>年度一般公共预算财政拨款项目支出决算</w:t>
      </w:r>
      <w:r>
        <w:rPr>
          <w:rFonts w:eastAsia="Times New Roman"/>
          <w:color w:val="000000"/>
          <w:kern w:val="0"/>
          <w:sz w:val="32"/>
          <w:szCs w:val="32"/>
          <w:u w:val="none" w:color="auto"/>
        </w:rPr>
        <w:t xml:space="preserve"> 198.03</w:t>
      </w:r>
      <w:r>
        <w:rPr>
          <w:rFonts w:ascii="仿宋_GB2312" w:hAnsi="仿宋_GB2312" w:eastAsia="仿宋_GB2312" w:cs="仿宋_GB2312"/>
          <w:color w:val="000000"/>
          <w:kern w:val="0"/>
          <w:sz w:val="32"/>
          <w:szCs w:val="32"/>
          <w:u w:val="none" w:color="auto"/>
        </w:rPr>
        <w:t>万元，其中：</w:t>
      </w:r>
    </w:p>
    <w:p w14:paraId="1526F228">
      <w:pPr>
        <w:keepNext w:val="0"/>
        <w:keepLines w:val="0"/>
        <w:pageBreakBefore w:val="0"/>
        <w:widowControl/>
        <w:kinsoku/>
        <w:wordWrap/>
        <w:overflowPunct/>
        <w:topLinePunct w:val="0"/>
        <w:autoSpaceDE/>
        <w:autoSpaceDN/>
        <w:bidi w:val="0"/>
        <w:spacing w:afterAutospacing="0" w:line="560" w:lineRule="exact"/>
        <w:ind w:firstLine="643" w:firstLineChars="200"/>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b/>
          <w:bCs/>
          <w:color w:val="000000"/>
          <w:kern w:val="0"/>
          <w:sz w:val="32"/>
          <w:szCs w:val="32"/>
          <w:u w:val="none" w:color="auto"/>
        </w:rPr>
        <w:t>（一）工资福利支出</w:t>
      </w:r>
      <w:r>
        <w:rPr>
          <w:rFonts w:eastAsia="Times New Roman"/>
          <w:color w:val="000000"/>
          <w:kern w:val="0"/>
          <w:sz w:val="32"/>
          <w:szCs w:val="32"/>
          <w:u w:val="none" w:color="auto"/>
        </w:rPr>
        <w:t xml:space="preserve"> </w:t>
      </w:r>
      <w:r>
        <w:rPr>
          <w:rFonts w:eastAsia="Times New Roman"/>
          <w:b/>
          <w:bCs/>
          <w:color w:val="000000"/>
          <w:kern w:val="0"/>
          <w:sz w:val="32"/>
          <w:szCs w:val="32"/>
          <w:u w:val="none" w:color="auto"/>
        </w:rPr>
        <w:t>0</w:t>
      </w:r>
      <w:r>
        <w:rPr>
          <w:rFonts w:ascii="仿宋_GB2312" w:hAnsi="仿宋_GB2312" w:eastAsia="仿宋_GB2312" w:cs="仿宋_GB2312"/>
          <w:color w:val="000000"/>
          <w:kern w:val="0"/>
          <w:sz w:val="32"/>
          <w:szCs w:val="32"/>
          <w:u w:val="none" w:color="auto"/>
        </w:rPr>
        <w:t>万元。</w:t>
      </w:r>
    </w:p>
    <w:p w14:paraId="2DFE6C65">
      <w:pPr>
        <w:keepNext w:val="0"/>
        <w:keepLines w:val="0"/>
        <w:pageBreakBefore w:val="0"/>
        <w:widowControl/>
        <w:kinsoku/>
        <w:wordWrap/>
        <w:overflowPunct/>
        <w:topLinePunct w:val="0"/>
        <w:autoSpaceDE/>
        <w:autoSpaceDN/>
        <w:bidi w:val="0"/>
        <w:spacing w:afterAutospacing="0" w:line="560" w:lineRule="exact"/>
        <w:ind w:firstLine="643" w:firstLineChars="200"/>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b/>
          <w:bCs/>
          <w:color w:val="000000"/>
          <w:kern w:val="0"/>
          <w:sz w:val="32"/>
          <w:szCs w:val="32"/>
          <w:u w:val="none" w:color="auto"/>
        </w:rPr>
        <w:t>（二）商品和服务支出</w:t>
      </w:r>
      <w:r>
        <w:rPr>
          <w:rFonts w:eastAsia="Times New Roman"/>
          <w:b/>
          <w:bCs/>
          <w:color w:val="000000"/>
          <w:kern w:val="0"/>
          <w:sz w:val="32"/>
          <w:szCs w:val="32"/>
          <w:u w:val="none" w:color="auto"/>
        </w:rPr>
        <w:t xml:space="preserve"> 146.59</w:t>
      </w:r>
      <w:r>
        <w:rPr>
          <w:rFonts w:ascii="仿宋_GB2312" w:hAnsi="仿宋_GB2312" w:eastAsia="仿宋_GB2312" w:cs="仿宋_GB2312"/>
          <w:color w:val="000000"/>
          <w:kern w:val="0"/>
          <w:sz w:val="32"/>
          <w:szCs w:val="32"/>
          <w:u w:val="none" w:color="auto"/>
        </w:rPr>
        <w:t>万元。主要包括：办公费 15.08 万元、印刷费 4.62 万元、手续费 0.10 万元、邮电费 27.43 万元、取暖费 13.00 万元、物业管理费 14.00 万元、差旅费 21.40 万元、维修（护）费 20.76 万元、培训费 4.79 万元、被装购置费 1.51 万元、劳务费 1.90 万元、委托业务费 10.00 万元、公务用车运行维护费 12.00 万元。</w:t>
      </w:r>
    </w:p>
    <w:p w14:paraId="48332422">
      <w:pPr>
        <w:keepNext w:val="0"/>
        <w:keepLines w:val="0"/>
        <w:pageBreakBefore w:val="0"/>
        <w:widowControl/>
        <w:kinsoku/>
        <w:wordWrap/>
        <w:overflowPunct/>
        <w:topLinePunct w:val="0"/>
        <w:autoSpaceDE/>
        <w:autoSpaceDN/>
        <w:bidi w:val="0"/>
        <w:spacing w:afterAutospacing="0" w:line="560" w:lineRule="exact"/>
        <w:ind w:firstLine="643" w:firstLineChars="200"/>
        <w:textAlignment w:val="auto"/>
        <w:rPr>
          <w:rFonts w:ascii="仿宋_GB2312" w:hAnsi="仿宋_GB2312" w:eastAsia="仿宋_GB2312" w:cs="仿宋_GB2312"/>
          <w:color w:val="0E00FE"/>
          <w:kern w:val="0"/>
          <w:sz w:val="32"/>
          <w:szCs w:val="32"/>
          <w:u w:val="none" w:color="auto"/>
        </w:rPr>
      </w:pPr>
      <w:r>
        <w:rPr>
          <w:rFonts w:ascii="仿宋_GB2312" w:hAnsi="仿宋_GB2312" w:eastAsia="仿宋_GB2312" w:cs="仿宋_GB2312"/>
          <w:b/>
          <w:bCs/>
          <w:color w:val="000000"/>
          <w:kern w:val="0"/>
          <w:sz w:val="32"/>
          <w:szCs w:val="32"/>
          <w:u w:val="none" w:color="auto"/>
        </w:rPr>
        <w:t>（三）资本性支出</w:t>
      </w:r>
      <w:r>
        <w:rPr>
          <w:rFonts w:eastAsia="Times New Roman"/>
          <w:b/>
          <w:bCs/>
          <w:color w:val="000000"/>
          <w:kern w:val="0"/>
          <w:sz w:val="32"/>
          <w:szCs w:val="32"/>
          <w:u w:val="none" w:color="auto"/>
        </w:rPr>
        <w:t xml:space="preserve"> 51.04</w:t>
      </w:r>
      <w:r>
        <w:rPr>
          <w:rFonts w:ascii="仿宋_GB2312" w:hAnsi="仿宋_GB2312" w:eastAsia="仿宋_GB2312" w:cs="仿宋_GB2312"/>
          <w:b/>
          <w:bCs/>
          <w:color w:val="000000"/>
          <w:kern w:val="0"/>
          <w:sz w:val="32"/>
          <w:szCs w:val="32"/>
          <w:u w:val="none" w:color="auto"/>
        </w:rPr>
        <w:t>万元。</w:t>
      </w:r>
      <w:r>
        <w:rPr>
          <w:rFonts w:ascii="仿宋_GB2312" w:hAnsi="仿宋_GB2312" w:eastAsia="仿宋_GB2312" w:cs="仿宋_GB2312"/>
          <w:color w:val="000000"/>
          <w:kern w:val="0"/>
          <w:sz w:val="32"/>
          <w:szCs w:val="32"/>
          <w:u w:val="none" w:color="auto"/>
        </w:rPr>
        <w:t>主要包括：办公设备购置 31.04 万元、专用设备购置 20.00 万元。 </w:t>
      </w:r>
      <w:r>
        <w:rPr>
          <w:rFonts w:ascii="仿宋_GB2312" w:hAnsi="仿宋_GB2312" w:eastAsia="仿宋_GB2312" w:cs="仿宋_GB2312"/>
          <w:color w:val="0E00FE"/>
          <w:kern w:val="0"/>
          <w:sz w:val="32"/>
          <w:szCs w:val="32"/>
          <w:u w:val="none" w:color="auto"/>
        </w:rPr>
        <w:t xml:space="preserve">  </w:t>
      </w:r>
    </w:p>
    <w:p w14:paraId="2DA2E18B">
      <w:pPr>
        <w:keepNext w:val="0"/>
        <w:keepLines w:val="0"/>
        <w:pageBreakBefore w:val="0"/>
        <w:widowControl/>
        <w:kinsoku/>
        <w:wordWrap/>
        <w:overflowPunct/>
        <w:topLinePunct w:val="0"/>
        <w:autoSpaceDE/>
        <w:autoSpaceDN/>
        <w:bidi w:val="0"/>
        <w:spacing w:afterAutospacing="0" w:line="560" w:lineRule="exact"/>
        <w:ind w:firstLine="643" w:firstLineChars="200"/>
        <w:textAlignment w:val="auto"/>
        <w:rPr>
          <w:rFonts w:ascii="仿宋_GB2312" w:hAnsi="仿宋_GB2312" w:eastAsia="仿宋_GB2312" w:cs="仿宋_GB2312"/>
          <w:color w:val="000000"/>
          <w:kern w:val="0"/>
          <w:sz w:val="32"/>
          <w:szCs w:val="32"/>
          <w:u w:val="none" w:color="auto"/>
        </w:rPr>
      </w:pPr>
      <w:r>
        <w:rPr>
          <w:rFonts w:ascii="仿宋_GB2312" w:hAnsi="仿宋_GB2312" w:eastAsia="仿宋_GB2312" w:cs="仿宋_GB2312"/>
          <w:b/>
          <w:bCs/>
          <w:color w:val="000000"/>
          <w:kern w:val="0"/>
          <w:sz w:val="32"/>
          <w:szCs w:val="32"/>
          <w:u w:val="none" w:color="auto"/>
        </w:rPr>
        <w:t>（四）对个人和家庭的补助 0.40 万元。</w:t>
      </w:r>
      <w:r>
        <w:rPr>
          <w:rFonts w:ascii="仿宋_GB2312" w:hAnsi="仿宋_GB2312" w:eastAsia="仿宋_GB2312" w:cs="仿宋_GB2312"/>
          <w:color w:val="000000"/>
          <w:kern w:val="0"/>
          <w:sz w:val="32"/>
          <w:szCs w:val="32"/>
          <w:u w:val="none" w:color="auto"/>
        </w:rPr>
        <w:t>主要包括：救济费 0.40 万元（国家司法救助支出）。</w:t>
      </w:r>
    </w:p>
    <w:p w14:paraId="53CDD6B5">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b w:val="0"/>
          <w:bCs w:val="0"/>
          <w:kern w:val="0"/>
          <w:sz w:val="32"/>
          <w:szCs w:val="32"/>
          <w:u w:val="none" w:color="auto"/>
        </w:rPr>
      </w:pPr>
      <w:r>
        <w:rPr>
          <w:rFonts w:ascii="黑体" w:hAnsi="黑体" w:eastAsia="黑体" w:cs="黑体"/>
          <w:b w:val="0"/>
          <w:bCs w:val="0"/>
          <w:kern w:val="0"/>
          <w:sz w:val="32"/>
          <w:szCs w:val="32"/>
          <w:u w:val="none" w:color="auto"/>
        </w:rPr>
        <w:t>八、财政拨款“三公”经费支出决算情况说明</w:t>
      </w:r>
    </w:p>
    <w:p w14:paraId="1B9839C2">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eastAsia" w:ascii="楷体_GB2312" w:hAnsi="楷体_GB2312" w:eastAsia="楷体_GB2312" w:cs="楷体_GB2312"/>
          <w:b w:val="0"/>
          <w:bCs w:val="0"/>
          <w:kern w:val="0"/>
          <w:sz w:val="32"/>
          <w:szCs w:val="32"/>
          <w:u w:val="none" w:color="auto"/>
        </w:rPr>
      </w:pPr>
      <w:r>
        <w:rPr>
          <w:rFonts w:hint="eastAsia" w:ascii="楷体_GB2312" w:hAnsi="楷体_GB2312" w:eastAsia="楷体_GB2312" w:cs="楷体_GB2312"/>
          <w:b w:val="0"/>
          <w:bCs w:val="0"/>
          <w:kern w:val="0"/>
          <w:sz w:val="32"/>
          <w:szCs w:val="32"/>
          <w:u w:val="none" w:color="auto"/>
        </w:rPr>
        <w:t>（一）财政拨款“三公”经费支出总体情况说明。</w:t>
      </w:r>
    </w:p>
    <w:p w14:paraId="3308C641">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kai_ti_gb2312" w:hAnsi="kai_ti_gb2312" w:eastAsia="kai_ti_gb2312" w:cs="kai_ti_gb2312"/>
          <w:b/>
          <w:bCs/>
          <w:kern w:val="0"/>
          <w:sz w:val="32"/>
          <w:szCs w:val="32"/>
          <w:u w:val="none" w:color="auto"/>
        </w:rPr>
      </w:pPr>
      <w:r>
        <w:rPr>
          <w:rFonts w:ascii="仿宋_GB2312" w:hAnsi="仿宋_GB2312" w:eastAsia="仿宋_GB2312" w:cs="仿宋_GB2312"/>
          <w:kern w:val="0"/>
          <w:sz w:val="32"/>
          <w:szCs w:val="32"/>
          <w:u w:val="none" w:color="auto"/>
        </w:rPr>
        <w:t>多伦县人民检察院 2024 年度财政拨款 “三公” 经费全年预算 15.10 万元，支出决算 15.10 万元，完成预算的 100.00%。其中：因公出国（境）费全年预算 0 万元，支出决算 0 万元，完成预算的 0%；公务用车购置及运行维护费全年预算 14.99 万元，支出决算 14.99 万元，完成预算的 100.00%；公务接待费全年预算 0.11 万元，支出决算 0.11 万元，完成预算的 100.00%。2024 年度一般公共预算财政拨款 “三公” 经费与预算无差异，原因：严格按预算执行，无超支情况。</w:t>
      </w:r>
      <w:r>
        <w:rPr>
          <w:rFonts w:ascii="kai_ti_gb2312" w:hAnsi="kai_ti_gb2312" w:eastAsia="kai_ti_gb2312" w:cs="kai_ti_gb2312"/>
          <w:b/>
          <w:bCs/>
          <w:kern w:val="0"/>
          <w:sz w:val="32"/>
          <w:szCs w:val="32"/>
          <w:u w:val="none" w:color="auto"/>
        </w:rPr>
        <w:t xml:space="preserve">    </w:t>
      </w:r>
    </w:p>
    <w:p w14:paraId="60A61468">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eastAsia" w:ascii="楷体_GB2312" w:hAnsi="楷体_GB2312" w:eastAsia="楷体_GB2312" w:cs="楷体_GB2312"/>
          <w:b w:val="0"/>
          <w:bCs w:val="0"/>
          <w:kern w:val="0"/>
          <w:sz w:val="32"/>
          <w:szCs w:val="32"/>
          <w:u w:val="none" w:color="auto"/>
        </w:rPr>
      </w:pPr>
      <w:r>
        <w:rPr>
          <w:rFonts w:hint="eastAsia" w:ascii="楷体_GB2312" w:hAnsi="楷体_GB2312" w:eastAsia="楷体_GB2312" w:cs="楷体_GB2312"/>
          <w:b w:val="0"/>
          <w:bCs w:val="0"/>
          <w:kern w:val="0"/>
          <w:sz w:val="32"/>
          <w:szCs w:val="32"/>
          <w:u w:val="none" w:color="auto"/>
        </w:rPr>
        <w:t>（二）财政拨款“三公”经费支出具体情况说明。</w:t>
      </w:r>
    </w:p>
    <w:p w14:paraId="5FC52E22">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 </w:t>
      </w:r>
      <w:r>
        <w:rPr>
          <w:rFonts w:ascii="仿宋_GB2312" w:hAnsi="仿宋_GB2312" w:eastAsia="仿宋_GB2312" w:cs="仿宋_GB2312"/>
          <w:color w:val="000000"/>
          <w:kern w:val="0"/>
          <w:sz w:val="32"/>
          <w:szCs w:val="32"/>
          <w:u w:val="none" w:color="auto"/>
        </w:rPr>
        <w:t>多伦县人民检察院 </w:t>
      </w:r>
      <w:r>
        <w:rPr>
          <w:rFonts w:ascii="times_new_roman" w:hAnsi="times_new_roman" w:eastAsia="times_new_roman" w:cs="times_new_roman"/>
          <w:color w:val="000000"/>
          <w:kern w:val="0"/>
          <w:sz w:val="32"/>
          <w:szCs w:val="32"/>
          <w:u w:val="none" w:color="auto"/>
        </w:rPr>
        <w:t>2024</w:t>
      </w:r>
      <w:r>
        <w:rPr>
          <w:rFonts w:ascii="仿宋_GB2312" w:hAnsi="仿宋_GB2312" w:eastAsia="仿宋_GB2312" w:cs="仿宋_GB2312"/>
          <w:color w:val="000000"/>
          <w:kern w:val="0"/>
          <w:sz w:val="32"/>
          <w:szCs w:val="32"/>
          <w:u w:val="none" w:color="auto"/>
        </w:rPr>
        <w:t>年度财政拨款“三公”经费支出</w:t>
      </w:r>
      <w:r>
        <w:rPr>
          <w:rFonts w:eastAsia="Times New Roman"/>
          <w:color w:val="000000"/>
          <w:kern w:val="0"/>
          <w:sz w:val="32"/>
          <w:szCs w:val="32"/>
          <w:u w:val="none" w:color="auto"/>
        </w:rPr>
        <w:t xml:space="preserve"> 15.10</w:t>
      </w:r>
      <w:r>
        <w:rPr>
          <w:rFonts w:ascii="仿宋_GB2312" w:hAnsi="仿宋_GB2312" w:eastAsia="仿宋_GB2312" w:cs="仿宋_GB2312"/>
          <w:color w:val="000000"/>
          <w:kern w:val="0"/>
          <w:sz w:val="32"/>
          <w:szCs w:val="32"/>
          <w:u w:val="none" w:color="auto"/>
        </w:rPr>
        <w:t>万元。因公出国（境）费支出</w:t>
      </w:r>
      <w:r>
        <w:rPr>
          <w:rFonts w:eastAsia="Times New Roman"/>
          <w:color w:val="000000"/>
          <w:kern w:val="0"/>
          <w:sz w:val="32"/>
          <w:szCs w:val="32"/>
          <w:u w:val="none" w:color="auto"/>
        </w:rPr>
        <w:t xml:space="preserve"> 0</w:t>
      </w:r>
      <w:r>
        <w:rPr>
          <w:rFonts w:ascii="仿宋_GB2312" w:hAnsi="仿宋_GB2312" w:eastAsia="仿宋_GB2312" w:cs="仿宋_GB2312"/>
          <w:color w:val="000000"/>
          <w:kern w:val="0"/>
          <w:sz w:val="32"/>
          <w:szCs w:val="32"/>
          <w:u w:val="none" w:color="auto"/>
        </w:rPr>
        <w:t>万元，占</w:t>
      </w:r>
      <w:r>
        <w:rPr>
          <w:rFonts w:eastAsia="Times New Roman"/>
          <w:color w:val="000000"/>
          <w:kern w:val="0"/>
          <w:sz w:val="32"/>
          <w:szCs w:val="32"/>
          <w:u w:val="none" w:color="auto"/>
        </w:rPr>
        <w:t xml:space="preserve"> 0</w:t>
      </w:r>
      <w:r>
        <w:rPr>
          <w:rFonts w:ascii="仿宋_GB2312" w:hAnsi="仿宋_GB2312" w:eastAsia="仿宋_GB2312" w:cs="仿宋_GB2312"/>
          <w:color w:val="000000"/>
          <w:kern w:val="0"/>
          <w:sz w:val="32"/>
          <w:szCs w:val="32"/>
          <w:u w:val="none" w:color="auto"/>
        </w:rPr>
        <w:t>%；公务用车购置及运行维护费支出</w:t>
      </w:r>
      <w:r>
        <w:rPr>
          <w:rFonts w:eastAsia="Times New Roman"/>
          <w:color w:val="000000"/>
          <w:kern w:val="0"/>
          <w:sz w:val="32"/>
          <w:szCs w:val="32"/>
          <w:u w:val="none" w:color="auto"/>
        </w:rPr>
        <w:t xml:space="preserve"> 14.99</w:t>
      </w:r>
      <w:r>
        <w:rPr>
          <w:rFonts w:ascii="仿宋_GB2312" w:hAnsi="仿宋_GB2312" w:eastAsia="仿宋_GB2312" w:cs="仿宋_GB2312"/>
          <w:color w:val="000000"/>
          <w:kern w:val="0"/>
          <w:sz w:val="32"/>
          <w:szCs w:val="32"/>
          <w:u w:val="none" w:color="auto"/>
        </w:rPr>
        <w:t>万元，占</w:t>
      </w:r>
      <w:r>
        <w:rPr>
          <w:rFonts w:eastAsia="Times New Roman"/>
          <w:color w:val="000000"/>
          <w:kern w:val="0"/>
          <w:sz w:val="32"/>
          <w:szCs w:val="32"/>
          <w:u w:val="none" w:color="auto"/>
        </w:rPr>
        <w:t xml:space="preserve"> 99.27</w:t>
      </w:r>
      <w:r>
        <w:rPr>
          <w:rFonts w:ascii="仿宋_GB2312" w:hAnsi="仿宋_GB2312" w:eastAsia="仿宋_GB2312" w:cs="仿宋_GB2312"/>
          <w:color w:val="000000"/>
          <w:kern w:val="0"/>
          <w:sz w:val="32"/>
          <w:szCs w:val="32"/>
          <w:u w:val="none" w:color="auto"/>
        </w:rPr>
        <w:t>%；公务接待费支出</w:t>
      </w:r>
      <w:r>
        <w:rPr>
          <w:rFonts w:eastAsia="Times New Roman"/>
          <w:color w:val="000000"/>
          <w:kern w:val="0"/>
          <w:sz w:val="32"/>
          <w:szCs w:val="32"/>
          <w:u w:val="none" w:color="auto"/>
        </w:rPr>
        <w:t xml:space="preserve"> 0.11</w:t>
      </w:r>
      <w:r>
        <w:rPr>
          <w:rFonts w:ascii="仿宋_GB2312" w:hAnsi="仿宋_GB2312" w:eastAsia="仿宋_GB2312" w:cs="仿宋_GB2312"/>
          <w:color w:val="000000"/>
          <w:kern w:val="0"/>
          <w:sz w:val="32"/>
          <w:szCs w:val="32"/>
          <w:u w:val="none" w:color="auto"/>
        </w:rPr>
        <w:t>万元，占</w:t>
      </w:r>
      <w:r>
        <w:rPr>
          <w:rFonts w:eastAsia="Times New Roman"/>
          <w:color w:val="000000"/>
          <w:kern w:val="0"/>
          <w:sz w:val="32"/>
          <w:szCs w:val="32"/>
          <w:u w:val="none" w:color="auto"/>
        </w:rPr>
        <w:t xml:space="preserve"> 0.73</w:t>
      </w:r>
      <w:r>
        <w:rPr>
          <w:rFonts w:ascii="仿宋_GB2312" w:hAnsi="仿宋_GB2312" w:eastAsia="仿宋_GB2312" w:cs="仿宋_GB2312"/>
          <w:color w:val="000000"/>
          <w:kern w:val="0"/>
          <w:sz w:val="32"/>
          <w:szCs w:val="32"/>
          <w:u w:val="none" w:color="auto"/>
        </w:rPr>
        <w:t>%。其中：</w:t>
      </w:r>
    </w:p>
    <w:p w14:paraId="498013F6">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仿宋_GB2312" w:hAnsi="仿宋_GB2312" w:eastAsia="仿宋_GB2312" w:cs="仿宋_GB2312"/>
          <w:color w:val="000000"/>
          <w:kern w:val="0"/>
          <w:sz w:val="32"/>
          <w:szCs w:val="32"/>
          <w:u w:val="none" w:color="auto"/>
        </w:rPr>
      </w:pPr>
      <w:r>
        <w:rPr>
          <w:rFonts w:hint="eastAsia" w:ascii="仿宋_GB2312" w:hAnsi="仿宋_GB2312" w:eastAsia="仿宋_GB2312" w:cs="仿宋_GB2312"/>
          <w:color w:val="000000"/>
          <w:kern w:val="0"/>
          <w:sz w:val="32"/>
          <w:szCs w:val="32"/>
          <w:u w:val="none" w:color="auto"/>
          <w:lang w:val="en-US" w:eastAsia="zh-CN"/>
        </w:rPr>
        <w:t>1.</w:t>
      </w:r>
      <w:r>
        <w:rPr>
          <w:rFonts w:ascii="仿宋_GB2312" w:hAnsi="仿宋_GB2312" w:eastAsia="仿宋_GB2312" w:cs="仿宋_GB2312"/>
          <w:color w:val="000000"/>
          <w:kern w:val="0"/>
          <w:sz w:val="32"/>
          <w:szCs w:val="32"/>
          <w:u w:val="none" w:color="auto"/>
        </w:rPr>
        <w:t>因公出国（境）费支出 0 万元，全年出国（境）团组 0 个，累计 0 人次。与上年决算相比，无变化，变动原因：无出国（境）事项。</w:t>
      </w:r>
    </w:p>
    <w:p w14:paraId="0D4B3502">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hint="default" w:ascii="仿宋_GB2312" w:hAnsi="仿宋_GB2312" w:eastAsia="仿宋_GB2312" w:cs="仿宋_GB2312"/>
          <w:color w:val="000000"/>
          <w:kern w:val="0"/>
          <w:sz w:val="32"/>
          <w:szCs w:val="32"/>
          <w:u w:val="none" w:color="auto"/>
        </w:rPr>
      </w:pPr>
      <w:r>
        <w:rPr>
          <w:rFonts w:hint="eastAsia" w:ascii="仿宋_GB2312" w:hAnsi="仿宋_GB2312" w:eastAsia="仿宋_GB2312" w:cs="仿宋_GB2312"/>
          <w:color w:val="000000"/>
          <w:kern w:val="0"/>
          <w:sz w:val="32"/>
          <w:szCs w:val="32"/>
          <w:u w:val="none" w:color="auto"/>
          <w:lang w:val="en-US" w:eastAsia="zh-CN"/>
        </w:rPr>
        <w:t>2.</w:t>
      </w:r>
      <w:r>
        <w:rPr>
          <w:rFonts w:hint="default" w:ascii="仿宋_GB2312" w:hAnsi="仿宋_GB2312" w:eastAsia="仿宋_GB2312" w:cs="仿宋_GB2312"/>
          <w:color w:val="000000"/>
          <w:kern w:val="0"/>
          <w:sz w:val="32"/>
          <w:szCs w:val="32"/>
          <w:u w:val="none" w:color="auto"/>
        </w:rPr>
        <w:t>公务用车购置及运行维护费支出 14.99 万元。其中：</w:t>
      </w:r>
    </w:p>
    <w:p w14:paraId="5F434670">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仿宋_GB2312" w:hAnsi="仿宋_GB2312" w:eastAsia="仿宋_GB2312" w:cs="仿宋_GB2312"/>
          <w:color w:val="000000"/>
          <w:kern w:val="0"/>
          <w:sz w:val="32"/>
          <w:szCs w:val="32"/>
          <w:u w:val="none" w:color="auto"/>
        </w:rPr>
      </w:pPr>
      <w:r>
        <w:rPr>
          <w:rFonts w:hint="default" w:ascii="仿宋_GB2312" w:hAnsi="仿宋_GB2312" w:eastAsia="仿宋_GB2312" w:cs="仿宋_GB2312"/>
          <w:color w:val="000000"/>
          <w:kern w:val="0"/>
          <w:sz w:val="32"/>
          <w:szCs w:val="32"/>
          <w:u w:val="none" w:color="auto"/>
        </w:rPr>
        <w:t>（1）公务用车购置支出 0 万元。本年度使用财政拨款购置公务用车 0 辆。与上年决算相比，无变化，变动原因：未购置新车。</w:t>
      </w:r>
      <w:r>
        <w:rPr>
          <w:rFonts w:hint="default" w:ascii="仿宋_GB2312" w:hAnsi="仿宋_GB2312" w:eastAsia="仿宋_GB2312" w:cs="仿宋_GB2312"/>
          <w:color w:val="000000"/>
          <w:kern w:val="0"/>
          <w:sz w:val="32"/>
          <w:szCs w:val="32"/>
          <w:u w:val="none" w:color="auto"/>
        </w:rPr>
        <w:br w:type="textWrapping"/>
      </w:r>
      <w:r>
        <w:rPr>
          <w:rFonts w:hint="eastAsia" w:ascii="仿宋_GB2312" w:hAnsi="仿宋_GB2312" w:eastAsia="仿宋_GB2312" w:cs="仿宋_GB2312"/>
          <w:color w:val="000000"/>
          <w:kern w:val="0"/>
          <w:sz w:val="32"/>
          <w:szCs w:val="32"/>
          <w:u w:val="none" w:color="auto"/>
          <w:lang w:val="en-US" w:eastAsia="zh-CN"/>
        </w:rPr>
        <w:t xml:space="preserve">    </w:t>
      </w:r>
      <w:r>
        <w:rPr>
          <w:rFonts w:hint="default" w:ascii="仿宋_GB2312" w:hAnsi="仿宋_GB2312" w:eastAsia="仿宋_GB2312" w:cs="仿宋_GB2312"/>
          <w:color w:val="000000"/>
          <w:kern w:val="0"/>
          <w:sz w:val="32"/>
          <w:szCs w:val="32"/>
          <w:u w:val="none" w:color="auto"/>
        </w:rPr>
        <w:t>（2）公务用车运行维护费支出 14.99 万元。主要用于 5 辆公务用车的燃料费、维修费、过桥过路费、保险费等。截至 2024 年 12 月 31 日，公务用车保有量为 5 辆。与上年决算相比，增加 2.99 万元，增长 24.95%，变动原因：车辆老化导致维修费用增加。</w:t>
      </w:r>
    </w:p>
    <w:p w14:paraId="47A99CF6">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仿宋_GB2312" w:hAnsi="仿宋_GB2312" w:eastAsia="仿宋_GB2312" w:cs="仿宋_GB2312"/>
          <w:color w:val="000000"/>
          <w:kern w:val="0"/>
          <w:sz w:val="32"/>
          <w:szCs w:val="32"/>
          <w:u w:val="none" w:color="auto"/>
        </w:rPr>
      </w:pPr>
      <w:r>
        <w:rPr>
          <w:rFonts w:hint="eastAsia" w:ascii="仿宋_GB2312" w:hAnsi="仿宋_GB2312" w:eastAsia="仿宋_GB2312" w:cs="仿宋_GB2312"/>
          <w:color w:val="000000"/>
          <w:kern w:val="0"/>
          <w:sz w:val="32"/>
          <w:szCs w:val="32"/>
          <w:u w:val="none" w:color="auto"/>
          <w:lang w:val="en-US" w:eastAsia="zh-CN"/>
        </w:rPr>
        <w:t>3.</w:t>
      </w:r>
      <w:r>
        <w:rPr>
          <w:rFonts w:hint="default" w:ascii="仿宋_GB2312" w:hAnsi="仿宋_GB2312" w:eastAsia="仿宋_GB2312" w:cs="仿宋_GB2312"/>
          <w:color w:val="000000"/>
          <w:kern w:val="0"/>
          <w:sz w:val="32"/>
          <w:szCs w:val="32"/>
          <w:u w:val="none" w:color="auto"/>
        </w:rPr>
        <w:t>公务接待费支出 0.11 万元。其中：国内公务接待支出 0.11 万元，接待 5 批次，15 人次，开支内容：上级领导检查指导工作接待；国（境）外公务接待支出 0 万元，接待 0 批次，0 人次。与上年决算相比，减少 1.59 万元，下降 93.49%，变动原因：严格控制接待标准，减少非必要接待。</w:t>
      </w:r>
    </w:p>
    <w:p w14:paraId="5F2463A7">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b w:val="0"/>
          <w:bCs w:val="0"/>
          <w:kern w:val="0"/>
          <w:sz w:val="32"/>
          <w:szCs w:val="32"/>
          <w:u w:val="none" w:color="auto"/>
        </w:rPr>
      </w:pP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 xml:space="preserve"> </w:t>
      </w: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九、政府性基金预算财政拨款支出决算情况说明</w:t>
      </w:r>
    </w:p>
    <w:p w14:paraId="695FE6B7">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 多伦县人民检察院 2024 年度政府性基金预算财政拨款支出决算 0 万元。与上年决算相比，无变化，变动原因：本单位不涉及政府性基金财政拨款资金，本年无政府性基金预算财政拨款收、支、余。</w:t>
      </w:r>
      <w:r>
        <w:rPr>
          <w:rFonts w:ascii="仿宋_GB2312" w:hAnsi="仿宋_GB2312" w:eastAsia="仿宋_GB2312" w:cs="仿宋_GB2312"/>
          <w:color w:val="0E00FE"/>
          <w:kern w:val="0"/>
          <w:sz w:val="32"/>
          <w:szCs w:val="32"/>
          <w:u w:val="none" w:color="auto"/>
        </w:rPr>
        <w:t xml:space="preserve">    </w:t>
      </w:r>
    </w:p>
    <w:p w14:paraId="586F7FA7">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Calibri" w:hAnsi="Calibri" w:eastAsia="Calibri" w:cs="Calibri"/>
          <w:b/>
          <w:bCs/>
          <w:kern w:val="0"/>
          <w:sz w:val="32"/>
          <w:szCs w:val="32"/>
          <w:u w:val="none" w:color="auto"/>
        </w:rPr>
        <w:t> </w:t>
      </w:r>
      <w:r>
        <w:rPr>
          <w:rFonts w:ascii="黑体" w:hAnsi="黑体" w:eastAsia="黑体" w:cs="黑体"/>
          <w:b w:val="0"/>
          <w:bCs w:val="0"/>
          <w:kern w:val="0"/>
          <w:sz w:val="32"/>
          <w:szCs w:val="32"/>
          <w:u w:val="none" w:color="auto"/>
        </w:rPr>
        <w:t xml:space="preserve"> </w:t>
      </w:r>
      <w:r>
        <w:rPr>
          <w:rFonts w:ascii="Calibri" w:hAnsi="Calibri" w:eastAsia="Calibri" w:cs="Calibri"/>
          <w:b w:val="0"/>
          <w:bCs w:val="0"/>
          <w:kern w:val="0"/>
          <w:sz w:val="32"/>
          <w:szCs w:val="32"/>
          <w:u w:val="none" w:color="auto"/>
        </w:rPr>
        <w:t> </w:t>
      </w:r>
      <w:r>
        <w:rPr>
          <w:rFonts w:ascii="黑体" w:hAnsi="黑体" w:eastAsia="黑体" w:cs="黑体"/>
          <w:b w:val="0"/>
          <w:bCs w:val="0"/>
          <w:kern w:val="0"/>
          <w:sz w:val="32"/>
          <w:szCs w:val="32"/>
          <w:u w:val="none" w:color="auto"/>
        </w:rPr>
        <w:t>十、国有资本经营预算财政拨款支出决算情况说明</w:t>
      </w:r>
    </w:p>
    <w:p w14:paraId="1EE26938">
      <w:pPr>
        <w:pStyle w:val="28"/>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color w:val="1200FF"/>
          <w:kern w:val="0"/>
          <w:sz w:val="32"/>
          <w:szCs w:val="32"/>
          <w:u w:val="none" w:color="auto"/>
        </w:rPr>
        <w:t> </w:t>
      </w:r>
      <w:r>
        <w:rPr>
          <w:rFonts w:ascii="仿宋_GB2312" w:hAnsi="仿宋_GB2312" w:eastAsia="仿宋_GB2312" w:cs="仿宋_GB2312"/>
          <w:kern w:val="0"/>
          <w:sz w:val="32"/>
          <w:szCs w:val="32"/>
          <w:u w:val="none" w:color="auto"/>
          <w:lang w:val="en-US" w:eastAsia="zh-CN" w:bidi="ar-SA"/>
        </w:rPr>
        <w:t>多伦县人民检察院 2024 年度国有资本经营预算财政拨款支出决算 0 万元。与上年决算相比，无变化，变动原因：本单位不涉及国有资本经营资金，本年无国有资本经营预算财政拨款收、支、余。</w:t>
      </w:r>
    </w:p>
    <w:p w14:paraId="095DE5DB">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黑体" w:hAnsi="黑体" w:eastAsia="黑体" w:cs="黑体"/>
          <w:b w:val="0"/>
          <w:bCs w:val="0"/>
          <w:kern w:val="0"/>
          <w:sz w:val="32"/>
          <w:szCs w:val="32"/>
          <w:u w:val="none" w:color="auto"/>
        </w:rPr>
      </w:pPr>
      <w:r>
        <w:rPr>
          <w:rFonts w:ascii="黑体" w:hAnsi="黑体" w:eastAsia="黑体" w:cs="黑体"/>
          <w:b w:val="0"/>
          <w:bCs w:val="0"/>
          <w:kern w:val="0"/>
          <w:sz w:val="32"/>
          <w:szCs w:val="32"/>
          <w:u w:val="none" w:color="auto"/>
        </w:rPr>
        <w:t>  十一、机关运行经费（公用经费）支出决算情况说明</w:t>
      </w:r>
    </w:p>
    <w:p w14:paraId="4E35A938">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 多伦县人民检察院 2024 年度公用经费支出决算 67.22 万元，与上年决算相比，减少 8.64 万元，下降 11.39%，变动原因：压缩一般性公用支出；其中，机关运行经费支出决算 64.78 万元。比上年决算相比，增加 10.42 万元，增长 19.17%，变动原因：电费、工会经费等刚性支出增加。</w:t>
      </w:r>
      <w:r>
        <w:rPr>
          <w:rFonts w:ascii="仿宋_GB2312" w:hAnsi="仿宋_GB2312" w:eastAsia="仿宋_GB2312" w:cs="仿宋_GB2312"/>
          <w:color w:val="1200FF"/>
          <w:kern w:val="0"/>
          <w:sz w:val="32"/>
          <w:szCs w:val="32"/>
          <w:u w:val="none" w:color="auto"/>
        </w:rPr>
        <w:t xml:space="preserve">  </w:t>
      </w:r>
    </w:p>
    <w:p w14:paraId="247D5DB9">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黑体" w:hAnsi="黑体" w:eastAsia="黑体" w:cs="黑体"/>
          <w:b w:val="0"/>
          <w:bCs w:val="0"/>
          <w:kern w:val="0"/>
          <w:sz w:val="32"/>
          <w:szCs w:val="32"/>
          <w:u w:val="none" w:color="auto"/>
        </w:rPr>
      </w:pPr>
      <w:r>
        <w:rPr>
          <w:rFonts w:ascii="黑体" w:hAnsi="黑体" w:eastAsia="黑体" w:cs="黑体"/>
          <w:b w:val="0"/>
          <w:bCs w:val="0"/>
          <w:kern w:val="0"/>
          <w:sz w:val="32"/>
          <w:szCs w:val="32"/>
          <w:u w:val="none" w:color="auto"/>
        </w:rPr>
        <w:t>   十二、政府采购支出决算情况说明</w:t>
      </w:r>
    </w:p>
    <w:p w14:paraId="6644C1A1">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 多伦县人民检察院 2024 年度政府采购支出总额 68.00 万元，其中：政府采购货物支出 50.00 万元、政府采购工程支出 0 万元、政府采购服务支出 18.00 万元。政府采购授予中小企业合同金额 46.56 万元，占政府采购支出总额的 68.47%，其中：授予小微企业合同金额 46.56 万元，占政府采购支出总额的 68.47%；货物采购授予中小企业合同金额占货物支出金额的 68.47%，工程采购授予中小企业合同金额占工程支出金额的 0%，服务采购授予中小企业合同金额占服务支出金额的 100%。</w:t>
      </w:r>
      <w:r>
        <w:rPr>
          <w:rFonts w:ascii="仿宋_GB2312" w:hAnsi="仿宋_GB2312" w:eastAsia="仿宋_GB2312" w:cs="仿宋_GB2312"/>
          <w:color w:val="0E00FE"/>
          <w:kern w:val="0"/>
          <w:sz w:val="32"/>
          <w:szCs w:val="32"/>
          <w:u w:val="none" w:color="auto"/>
        </w:rPr>
        <w:t>   </w:t>
      </w:r>
    </w:p>
    <w:p w14:paraId="58472D1A">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黑体" w:hAnsi="黑体" w:eastAsia="黑体" w:cs="黑体"/>
          <w:b w:val="0"/>
          <w:bCs w:val="0"/>
          <w:kern w:val="0"/>
          <w:sz w:val="32"/>
          <w:szCs w:val="32"/>
          <w:u w:val="none" w:color="auto"/>
        </w:rPr>
      </w:pPr>
      <w:r>
        <w:rPr>
          <w:rFonts w:ascii="黑体" w:hAnsi="黑体" w:eastAsia="黑体" w:cs="黑体"/>
          <w:b w:val="0"/>
          <w:bCs w:val="0"/>
          <w:kern w:val="0"/>
          <w:sz w:val="32"/>
          <w:szCs w:val="32"/>
          <w:u w:val="none" w:color="auto"/>
        </w:rPr>
        <w:t>  十三、国有资产占用情况说明</w:t>
      </w:r>
    </w:p>
    <w:p w14:paraId="413A22F6">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多伦县人民检察院截至 2024 年 12 月 31 日，本部门（单位）共有车辆 5 辆，其中：副部（省）级及以上领导用车 0 辆、主要负责人用车 0 辆、机要通信用车 1 辆、应急保障用车 0 辆、执法执勤用车 4 辆、特种专业技术用车 0 辆、离退休干部服务用车 0 辆、其他用车 0 辆；单价 100 万元（含）以上的设备（不含车辆）1 台（套）。 </w:t>
      </w:r>
    </w:p>
    <w:p w14:paraId="5DCEC935">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黑体" w:hAnsi="黑体" w:eastAsia="黑体" w:cs="黑体"/>
          <w:b w:val="0"/>
          <w:bCs w:val="0"/>
          <w:kern w:val="0"/>
          <w:sz w:val="32"/>
          <w:szCs w:val="32"/>
          <w:u w:val="none" w:color="auto"/>
        </w:rPr>
      </w:pPr>
      <w:r>
        <w:rPr>
          <w:rFonts w:ascii="黑体" w:hAnsi="黑体" w:eastAsia="黑体" w:cs="黑体"/>
          <w:b w:val="0"/>
          <w:bCs w:val="0"/>
          <w:kern w:val="0"/>
          <w:sz w:val="32"/>
          <w:szCs w:val="32"/>
          <w:u w:val="none" w:color="auto"/>
        </w:rPr>
        <w:t>   十四、预算绩效情况说明</w:t>
      </w:r>
    </w:p>
    <w:p w14:paraId="384D447F">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b w:val="0"/>
          <w:bCs w:val="0"/>
          <w:kern w:val="0"/>
          <w:sz w:val="32"/>
          <w:szCs w:val="32"/>
          <w:u w:val="none" w:color="auto"/>
        </w:rPr>
      </w:pPr>
      <w:r>
        <w:rPr>
          <w:rFonts w:ascii="kai_ti_gb2312" w:hAnsi="kai_ti_gb2312" w:eastAsia="kai_ti_gb2312" w:cs="kai_ti_gb2312"/>
          <w:b w:val="0"/>
          <w:bCs w:val="0"/>
          <w:kern w:val="0"/>
          <w:sz w:val="32"/>
          <w:szCs w:val="32"/>
          <w:u w:val="none" w:color="auto"/>
        </w:rPr>
        <w:t> </w:t>
      </w:r>
      <w:r>
        <w:rPr>
          <w:rFonts w:hint="eastAsia" w:ascii="楷体_GB2312" w:hAnsi="楷体_GB2312" w:eastAsia="楷体_GB2312" w:cs="楷体_GB2312"/>
          <w:b w:val="0"/>
          <w:bCs w:val="0"/>
          <w:kern w:val="0"/>
          <w:sz w:val="32"/>
          <w:szCs w:val="32"/>
          <w:u w:val="none" w:color="auto"/>
        </w:rPr>
        <w:t>（一）预算绩效管理工作开展情况。</w:t>
      </w:r>
    </w:p>
    <w:p w14:paraId="5FEC64DD">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 </w:t>
      </w:r>
      <w:r>
        <w:rPr>
          <w:rFonts w:ascii="仿宋_GB2312" w:hAnsi="仿宋_GB2312" w:eastAsia="仿宋_GB2312" w:cs="仿宋_GB2312"/>
          <w:color w:val="000000"/>
          <w:kern w:val="0"/>
          <w:sz w:val="32"/>
          <w:szCs w:val="32"/>
          <w:u w:val="none" w:color="auto"/>
        </w:rPr>
        <w:t>多伦县人民检察院 根据预算绩效管理要求组织对</w:t>
      </w:r>
      <w:r>
        <w:rPr>
          <w:rFonts w:ascii="times_new_roman" w:hAnsi="times_new_roman" w:eastAsia="times_new_roman" w:cs="times_new_roman"/>
          <w:color w:val="000000"/>
          <w:kern w:val="0"/>
          <w:sz w:val="32"/>
          <w:szCs w:val="32"/>
          <w:u w:val="none" w:color="auto"/>
        </w:rPr>
        <w:t>2024</w:t>
      </w:r>
      <w:r>
        <w:rPr>
          <w:rFonts w:ascii="仿宋_GB2312" w:hAnsi="仿宋_GB2312" w:eastAsia="仿宋_GB2312" w:cs="仿宋_GB2312"/>
          <w:color w:val="000000"/>
          <w:kern w:val="0"/>
          <w:sz w:val="32"/>
          <w:szCs w:val="32"/>
          <w:u w:val="none" w:color="auto"/>
        </w:rPr>
        <w:t>年一般公共预算项目支出全面开展绩效自评，其中一级项目</w:t>
      </w:r>
      <w:r>
        <w:rPr>
          <w:rFonts w:hint="eastAsia" w:ascii="times_new_roman" w:hAnsi="times_new_roman" w:cs="times_new_roman"/>
          <w:color w:val="000000"/>
          <w:kern w:val="0"/>
          <w:sz w:val="32"/>
          <w:szCs w:val="32"/>
          <w:u w:val="none" w:color="auto"/>
          <w:lang w:val="en-US" w:eastAsia="zh-CN"/>
        </w:rPr>
        <w:t>2</w:t>
      </w:r>
      <w:r>
        <w:rPr>
          <w:rFonts w:ascii="仿宋_GB2312" w:hAnsi="仿宋_GB2312" w:eastAsia="仿宋_GB2312" w:cs="仿宋_GB2312"/>
          <w:color w:val="000000"/>
          <w:kern w:val="0"/>
          <w:sz w:val="32"/>
          <w:szCs w:val="32"/>
          <w:u w:val="none" w:color="auto"/>
        </w:rPr>
        <w:t>个，二级项目</w:t>
      </w:r>
      <w:r>
        <w:rPr>
          <w:rFonts w:hint="eastAsia" w:ascii="times_new_roman" w:hAnsi="times_new_roman" w:cs="times_new_roman"/>
          <w:color w:val="000000"/>
          <w:kern w:val="0"/>
          <w:sz w:val="32"/>
          <w:szCs w:val="32"/>
          <w:u w:val="none" w:color="auto"/>
          <w:lang w:val="en-US" w:eastAsia="zh-CN"/>
        </w:rPr>
        <w:t>0</w:t>
      </w:r>
      <w:r>
        <w:rPr>
          <w:rFonts w:ascii="仿宋_GB2312" w:hAnsi="仿宋_GB2312" w:eastAsia="仿宋_GB2312" w:cs="仿宋_GB2312"/>
          <w:color w:val="000000"/>
          <w:kern w:val="0"/>
          <w:sz w:val="32"/>
          <w:szCs w:val="32"/>
          <w:u w:val="none" w:color="auto"/>
        </w:rPr>
        <w:t>个，共涉及资金</w:t>
      </w:r>
      <w:r>
        <w:rPr>
          <w:rFonts w:hint="eastAsia" w:ascii="times_new_roman" w:hAnsi="times_new_roman" w:cs="times_new_roman"/>
          <w:color w:val="000000"/>
          <w:kern w:val="0"/>
          <w:sz w:val="32"/>
          <w:szCs w:val="32"/>
          <w:u w:val="none" w:color="auto"/>
          <w:lang w:val="en-US" w:eastAsia="zh-CN"/>
        </w:rPr>
        <w:t>187.92</w:t>
      </w:r>
      <w:r>
        <w:rPr>
          <w:rFonts w:ascii="仿宋_GB2312" w:hAnsi="仿宋_GB2312" w:eastAsia="仿宋_GB2312" w:cs="仿宋_GB2312"/>
          <w:color w:val="000000"/>
          <w:kern w:val="0"/>
          <w:sz w:val="32"/>
          <w:szCs w:val="32"/>
          <w:u w:val="none" w:color="auto"/>
        </w:rPr>
        <w:t>万元，占一般公共预算项目支出总额的</w:t>
      </w:r>
      <w:r>
        <w:rPr>
          <w:rFonts w:ascii="times_new_roman" w:hAnsi="times_new_roman" w:eastAsia="times_new_roman" w:cs="times_new_roman"/>
          <w:color w:val="000000"/>
          <w:kern w:val="0"/>
          <w:sz w:val="32"/>
          <w:szCs w:val="32"/>
          <w:u w:val="none" w:color="auto"/>
        </w:rPr>
        <w:t>100</w:t>
      </w:r>
      <w:r>
        <w:rPr>
          <w:rFonts w:ascii="仿宋_GB2312" w:hAnsi="仿宋_GB2312" w:eastAsia="仿宋_GB2312" w:cs="仿宋_GB2312"/>
          <w:color w:val="000000"/>
          <w:kern w:val="0"/>
          <w:sz w:val="32"/>
          <w:szCs w:val="32"/>
          <w:u w:val="none" w:color="auto"/>
        </w:rPr>
        <w:t>%；</w:t>
      </w:r>
      <w:r>
        <w:rPr>
          <w:rFonts w:hint="eastAsia" w:ascii="仿宋_GB2312" w:hAnsi="仿宋_GB2312" w:eastAsia="仿宋_GB2312" w:cs="仿宋_GB2312"/>
          <w:kern w:val="0"/>
          <w:sz w:val="32"/>
          <w:szCs w:val="32"/>
          <w:lang w:val="en-US" w:eastAsia="zh-CN"/>
        </w:rPr>
        <w:t>政府性基金预算项目0个，其中，一级项目0个，二级项目0个，共涉及资金0万元，占应纳入绩效自评的政府性基金预算项目支出总额的100%。</w:t>
      </w:r>
    </w:p>
    <w:p w14:paraId="2C4DDBD3">
      <w:pPr>
        <w:autoSpaceDE w:val="0"/>
        <w:autoSpaceDN w:val="0"/>
        <w:spacing w:before="100" w:after="100" w:line="580" w:lineRule="atLeast"/>
        <w:ind w:firstLine="600"/>
        <w:jc w:val="both"/>
        <w:rPr>
          <w:rFonts w:ascii="Times New Roman" w:hAnsi="Times New Roman" w:eastAsia="Times New Roman" w:cs="Times New Roman"/>
          <w:kern w:val="0"/>
          <w:sz w:val="32"/>
          <w:szCs w:val="32"/>
          <w:u w:val="none" w:color="auto"/>
        </w:rPr>
      </w:pPr>
      <w:r>
        <w:rPr>
          <w:rFonts w:ascii="仿宋_GB2312" w:hAnsi="仿宋_GB2312" w:eastAsia="仿宋_GB2312" w:cs="仿宋_GB2312"/>
          <w:color w:val="000000"/>
          <w:kern w:val="0"/>
          <w:sz w:val="32"/>
          <w:szCs w:val="32"/>
          <w:u w:val="none" w:color="auto"/>
        </w:rPr>
        <w:t> 组织对</w:t>
      </w:r>
      <w:r>
        <w:rPr>
          <w:rFonts w:hint="eastAsia" w:ascii="仿宋_GB2312" w:hAnsi="仿宋_GB2312" w:eastAsia="仿宋_GB2312" w:cs="仿宋_GB2312"/>
          <w:kern w:val="0"/>
          <w:sz w:val="32"/>
          <w:szCs w:val="32"/>
        </w:rPr>
        <w:t>“业务装备经费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办案（业务）经费”</w:t>
      </w:r>
      <w:r>
        <w:rPr>
          <w:rFonts w:ascii="仿宋_GB2312" w:hAnsi="仿宋_GB2312" w:eastAsia="仿宋_GB2312" w:cs="仿宋_GB2312"/>
          <w:color w:val="000000"/>
          <w:kern w:val="0"/>
          <w:sz w:val="32"/>
          <w:szCs w:val="32"/>
          <w:u w:val="none" w:color="auto"/>
        </w:rPr>
        <w:t>等</w:t>
      </w:r>
      <w:r>
        <w:rPr>
          <w:rFonts w:ascii="仿宋_GB2312" w:hAnsi="仿宋_GB2312" w:eastAsia="仿宋_GB2312" w:cs="仿宋_GB2312"/>
          <w:color w:val="000000"/>
          <w:kern w:val="0"/>
          <w:sz w:val="32"/>
          <w:szCs w:val="32"/>
          <w:u w:val="none" w:color="auto"/>
        </w:rPr>
        <w:t> </w:t>
      </w:r>
      <w:r>
        <w:rPr>
          <w:rFonts w:hint="eastAsia" w:ascii="仿宋_GB2312" w:hAnsi="仿宋_GB2312" w:eastAsia="仿宋_GB2312" w:cs="仿宋_GB2312"/>
          <w:color w:val="000000"/>
          <w:kern w:val="0"/>
          <w:sz w:val="32"/>
          <w:szCs w:val="32"/>
          <w:u w:val="none" w:color="auto"/>
          <w:lang w:val="en-US" w:eastAsia="zh-CN"/>
        </w:rPr>
        <w:t>2</w:t>
      </w:r>
      <w:r>
        <w:rPr>
          <w:rFonts w:ascii="仿宋_GB2312" w:hAnsi="仿宋_GB2312" w:eastAsia="仿宋_GB2312" w:cs="仿宋_GB2312"/>
          <w:color w:val="000000"/>
          <w:kern w:val="0"/>
          <w:sz w:val="32"/>
          <w:szCs w:val="32"/>
          <w:u w:val="none" w:color="auto"/>
        </w:rPr>
        <w:t> </w:t>
      </w:r>
      <w:r>
        <w:rPr>
          <w:rFonts w:ascii="仿宋_GB2312" w:hAnsi="仿宋_GB2312" w:eastAsia="仿宋_GB2312" w:cs="仿宋_GB2312"/>
          <w:color w:val="000000"/>
          <w:kern w:val="0"/>
          <w:sz w:val="32"/>
          <w:szCs w:val="32"/>
          <w:u w:val="none" w:color="auto"/>
        </w:rPr>
        <w:t>个项目开展了部门评价，涉及一般公共预算支出</w:t>
      </w:r>
      <w:r>
        <w:rPr>
          <w:rFonts w:hint="eastAsia" w:ascii="times_new_roman" w:hAnsi="times_new_roman" w:cs="times_new_roman"/>
          <w:color w:val="000000"/>
          <w:kern w:val="0"/>
          <w:sz w:val="32"/>
          <w:szCs w:val="32"/>
          <w:u w:val="none" w:color="auto"/>
          <w:lang w:val="en-US" w:eastAsia="zh-CN"/>
        </w:rPr>
        <w:t>187.92</w:t>
      </w:r>
      <w:r>
        <w:rPr>
          <w:rFonts w:ascii="仿宋_GB2312" w:hAnsi="仿宋_GB2312" w:eastAsia="仿宋_GB2312" w:cs="仿宋_GB2312"/>
          <w:color w:val="000000"/>
          <w:kern w:val="0"/>
          <w:sz w:val="32"/>
          <w:szCs w:val="32"/>
          <w:u w:val="none" w:color="auto"/>
        </w:rPr>
        <w:t>万元，政府性基金支出</w:t>
      </w:r>
      <w:r>
        <w:rPr>
          <w:rFonts w:hint="eastAsia" w:ascii="times_new_roman" w:hAnsi="times_new_roman" w:cs="times_new_roman"/>
          <w:color w:val="000000"/>
          <w:kern w:val="0"/>
          <w:sz w:val="32"/>
          <w:szCs w:val="32"/>
          <w:u w:val="none" w:color="auto"/>
          <w:lang w:val="en-US" w:eastAsia="zh-CN"/>
        </w:rPr>
        <w:t>0</w:t>
      </w:r>
      <w:r>
        <w:rPr>
          <w:rFonts w:ascii="仿宋_GB2312" w:hAnsi="仿宋_GB2312" w:eastAsia="仿宋_GB2312" w:cs="仿宋_GB2312"/>
          <w:color w:val="000000"/>
          <w:kern w:val="0"/>
          <w:sz w:val="32"/>
          <w:szCs w:val="32"/>
          <w:u w:val="none" w:color="auto"/>
        </w:rPr>
        <w:t>万元</w:t>
      </w:r>
      <w:r>
        <w:rPr>
          <w:rFonts w:hint="eastAsia" w:ascii="仿宋_GB2312" w:hAnsi="仿宋_GB2312" w:eastAsia="仿宋_GB2312" w:cs="仿宋_GB2312"/>
          <w:color w:val="000000"/>
          <w:kern w:val="0"/>
          <w:sz w:val="32"/>
          <w:szCs w:val="32"/>
          <w:u w:val="none" w:color="auto"/>
          <w:lang w:eastAsia="zh-CN"/>
        </w:rPr>
        <w:t>。</w:t>
      </w:r>
      <w:r>
        <w:rPr>
          <w:rFonts w:hint="eastAsia" w:ascii="仿宋_GB2312" w:hAnsi="仿宋_GB2312" w:eastAsia="仿宋_GB2312" w:cs="仿宋_GB2312"/>
          <w:kern w:val="0"/>
          <w:sz w:val="32"/>
          <w:szCs w:val="32"/>
        </w:rPr>
        <w:t>从评价情况看，</w:t>
      </w:r>
      <w:r>
        <w:rPr>
          <w:rFonts w:hint="eastAsia" w:ascii="仿宋_GB2312" w:hAnsi="仿宋_GB2312" w:eastAsia="仿宋_GB2312" w:cs="仿宋_GB2312"/>
          <w:sz w:val="32"/>
          <w:szCs w:val="32"/>
        </w:rPr>
        <w:t>以上项目共</w:t>
      </w:r>
      <w:r>
        <w:rPr>
          <w:rFonts w:hint="eastAsia" w:ascii="仿宋_GB2312" w:hAnsi="仿宋_GB2312" w:eastAsia="仿宋_GB2312" w:cs="仿宋_GB2312"/>
          <w:sz w:val="32"/>
          <w:szCs w:val="32"/>
          <w:lang w:eastAsia="zh-CN"/>
        </w:rPr>
        <w:t>两项</w:t>
      </w:r>
      <w:r>
        <w:rPr>
          <w:rFonts w:hint="eastAsia" w:ascii="仿宋_GB2312" w:hAnsi="仿宋_GB2312" w:eastAsia="仿宋_GB2312" w:cs="仿宋_GB2312"/>
          <w:sz w:val="32"/>
          <w:szCs w:val="32"/>
        </w:rPr>
        <w:t>目，本次对实施的评价工作严格依照工作要求进行，合理有效使用项目资金，依法依规完成政府采购工作，提高检察服务大局水平和法律监督，加强科技强检，推进检察信息化建设，提高检察工作科技含量，对加强检察机关上下联动，保持信息通畅，实现资源共享，提高了办案工作环境，加强了科技强检，着力提升了公益诉讼实效和未成年人刑事检察工作质量，人民满意度提高，本次综合绩效评价成绩为优秀。在今后的工作中要进一步加强绩效管理培训和学习，树牢预算绩效管理意识；进一步强化项目绩效目标管理，优化完善项目指标设置，加强预算绩效评价工作的学习与培训。</w:t>
      </w:r>
    </w:p>
    <w:p w14:paraId="3CBE1652">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hint="eastAsia" w:ascii="楷体_GB2312" w:hAnsi="楷体_GB2312" w:eastAsia="楷体_GB2312" w:cs="楷体_GB2312"/>
          <w:kern w:val="0"/>
          <w:sz w:val="32"/>
          <w:szCs w:val="32"/>
          <w:u w:val="none" w:color="auto"/>
        </w:rPr>
      </w:pPr>
      <w:r>
        <w:rPr>
          <w:rFonts w:hint="eastAsia" w:ascii="楷体_GB2312" w:hAnsi="楷体_GB2312" w:eastAsia="楷体_GB2312" w:cs="楷体_GB2312"/>
          <w:b/>
          <w:bCs/>
          <w:color w:val="000000"/>
          <w:kern w:val="0"/>
          <w:sz w:val="32"/>
          <w:szCs w:val="32"/>
          <w:u w:val="none" w:color="auto"/>
        </w:rPr>
        <w:t> （二）部门（单位）决算中项目绩效自评结果。</w:t>
      </w:r>
    </w:p>
    <w:p w14:paraId="2C988F33">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color w:val="000000"/>
          <w:kern w:val="0"/>
          <w:sz w:val="32"/>
          <w:szCs w:val="32"/>
          <w:u w:val="none" w:color="auto"/>
        </w:rPr>
        <w:t> 多伦县人民检察院 </w:t>
      </w:r>
      <w:r>
        <w:rPr>
          <w:rFonts w:ascii="times_new_roman" w:hAnsi="times_new_roman" w:eastAsia="times_new_roman" w:cs="times_new_roman"/>
          <w:color w:val="000000"/>
          <w:kern w:val="0"/>
          <w:sz w:val="32"/>
          <w:szCs w:val="32"/>
          <w:u w:val="none" w:color="auto"/>
        </w:rPr>
        <w:t>2024</w:t>
      </w:r>
      <w:r>
        <w:rPr>
          <w:rFonts w:ascii="仿宋_GB2312" w:hAnsi="仿宋_GB2312" w:eastAsia="仿宋_GB2312" w:cs="仿宋_GB2312"/>
          <w:color w:val="000000"/>
          <w:kern w:val="0"/>
          <w:sz w:val="32"/>
          <w:szCs w:val="32"/>
          <w:u w:val="none" w:color="auto"/>
        </w:rPr>
        <w:t>年度在决算中反映</w:t>
      </w:r>
      <w:r>
        <w:rPr>
          <w:rFonts w:hint="eastAsia" w:ascii="times_new_roman" w:hAnsi="times_new_roman" w:cs="times_new_roman"/>
          <w:color w:val="000000"/>
          <w:kern w:val="0"/>
          <w:sz w:val="32"/>
          <w:szCs w:val="32"/>
          <w:u w:val="none" w:color="auto"/>
          <w:lang w:val="en-US" w:eastAsia="zh-CN"/>
        </w:rPr>
        <w:t>2</w:t>
      </w:r>
      <w:r>
        <w:rPr>
          <w:rFonts w:ascii="仿宋_GB2312" w:hAnsi="仿宋_GB2312" w:eastAsia="仿宋_GB2312" w:cs="仿宋_GB2312"/>
          <w:color w:val="000000"/>
          <w:kern w:val="0"/>
          <w:sz w:val="32"/>
          <w:szCs w:val="32"/>
          <w:u w:val="none" w:color="auto"/>
        </w:rPr>
        <w:t>个一般公共预算项目，以及</w:t>
      </w:r>
      <w:r>
        <w:rPr>
          <w:rFonts w:hint="eastAsia" w:ascii="times_new_roman" w:hAnsi="times_new_roman" w:cs="times_new_roman"/>
          <w:color w:val="000000"/>
          <w:kern w:val="0"/>
          <w:sz w:val="32"/>
          <w:szCs w:val="32"/>
          <w:u w:val="none" w:color="auto"/>
          <w:lang w:val="en-US" w:eastAsia="zh-CN"/>
        </w:rPr>
        <w:t>0</w:t>
      </w:r>
      <w:r>
        <w:rPr>
          <w:rFonts w:ascii="仿宋_GB2312" w:hAnsi="仿宋_GB2312" w:eastAsia="仿宋_GB2312" w:cs="仿宋_GB2312"/>
          <w:color w:val="000000"/>
          <w:kern w:val="0"/>
          <w:sz w:val="32"/>
          <w:szCs w:val="32"/>
          <w:u w:val="none" w:color="auto"/>
        </w:rPr>
        <w:t>个政府性基金项目，共</w:t>
      </w:r>
      <w:r>
        <w:rPr>
          <w:rFonts w:hint="eastAsia" w:ascii="times_new_roman" w:hAnsi="times_new_roman" w:cs="times_new_roman"/>
          <w:color w:val="000000"/>
          <w:kern w:val="0"/>
          <w:sz w:val="32"/>
          <w:szCs w:val="32"/>
          <w:u w:val="none" w:color="auto"/>
          <w:lang w:val="en-US" w:eastAsia="zh-CN"/>
        </w:rPr>
        <w:t>2</w:t>
      </w:r>
      <w:r>
        <w:rPr>
          <w:rFonts w:ascii="仿宋_GB2312" w:hAnsi="仿宋_GB2312" w:eastAsia="仿宋_GB2312" w:cs="仿宋_GB2312"/>
          <w:color w:val="000000"/>
          <w:kern w:val="0"/>
          <w:sz w:val="32"/>
          <w:szCs w:val="32"/>
          <w:u w:val="none" w:color="auto"/>
        </w:rPr>
        <w:t>个项目的绩效自评结果。</w:t>
      </w:r>
    </w:p>
    <w:p w14:paraId="0BA564B8">
      <w:pPr>
        <w:keepNext w:val="0"/>
        <w:keepLines w:val="0"/>
        <w:pageBreakBefore w:val="0"/>
        <w:widowControl/>
        <w:kinsoku/>
        <w:wordWrap/>
        <w:overflowPunct/>
        <w:topLinePunct w:val="0"/>
        <w:autoSpaceDE/>
        <w:autoSpaceDN/>
        <w:bidi w:val="0"/>
        <w:spacing w:afterAutospacing="0" w:line="560" w:lineRule="exact"/>
        <w:ind w:firstLine="643" w:firstLineChars="200"/>
        <w:textAlignment w:val="auto"/>
        <w:rPr>
          <w:rFonts w:hint="eastAsia" w:ascii="仿宋_GB2312" w:hAnsi="仿宋_GB2312" w:eastAsia="仿宋_GB2312" w:cs="仿宋_GB2312"/>
          <w:color w:val="000000"/>
          <w:kern w:val="0"/>
          <w:sz w:val="32"/>
          <w:szCs w:val="32"/>
          <w:u w:val="none" w:color="auto"/>
        </w:rPr>
      </w:pPr>
      <w:r>
        <w:rPr>
          <w:rFonts w:hint="eastAsia" w:ascii="仿宋_GB2312" w:hAnsi="仿宋_GB2312" w:eastAsia="仿宋_GB2312" w:cs="仿宋_GB2312"/>
          <w:b/>
          <w:bCs/>
          <w:color w:val="000000"/>
          <w:kern w:val="0"/>
          <w:sz w:val="32"/>
          <w:szCs w:val="32"/>
          <w:u w:val="none" w:color="auto"/>
          <w:lang w:val="en-US" w:eastAsia="zh-CN"/>
        </w:rPr>
        <w:t>1.办案（业务）经费项目自评综述：</w:t>
      </w:r>
      <w:r>
        <w:rPr>
          <w:rFonts w:ascii="仿宋_GB2312" w:hAnsi="仿宋_GB2312" w:eastAsia="仿宋_GB2312" w:cs="仿宋_GB2312"/>
          <w:color w:val="000000"/>
          <w:kern w:val="0"/>
          <w:sz w:val="32"/>
          <w:szCs w:val="32"/>
          <w:u w:val="none" w:color="auto"/>
        </w:rPr>
        <w:t>根据年初设定的绩效目标，项目自评得分</w:t>
      </w:r>
      <w:r>
        <w:rPr>
          <w:rFonts w:hint="eastAsia" w:ascii="仿宋_GB2312" w:hAnsi="仿宋_GB2312" w:eastAsia="仿宋_GB2312" w:cs="仿宋_GB2312"/>
          <w:color w:val="000000"/>
          <w:kern w:val="0"/>
          <w:sz w:val="32"/>
          <w:szCs w:val="32"/>
          <w:u w:val="none" w:color="auto"/>
          <w:lang w:val="en-US" w:eastAsia="zh-CN"/>
        </w:rPr>
        <w:t>99.96</w:t>
      </w:r>
      <w:r>
        <w:rPr>
          <w:rFonts w:ascii="仿宋_GB2312" w:hAnsi="仿宋_GB2312" w:eastAsia="仿宋_GB2312" w:cs="仿宋_GB2312"/>
          <w:color w:val="000000"/>
          <w:kern w:val="0"/>
          <w:sz w:val="32"/>
          <w:szCs w:val="32"/>
          <w:u w:val="none" w:color="auto"/>
        </w:rPr>
        <w:t>分。全年预算数为</w:t>
      </w:r>
      <w:r>
        <w:rPr>
          <w:rFonts w:hint="eastAsia" w:ascii="仿宋_GB2312" w:hAnsi="仿宋_GB2312" w:eastAsia="仿宋_GB2312" w:cs="仿宋_GB2312"/>
          <w:color w:val="000000"/>
          <w:kern w:val="0"/>
          <w:sz w:val="32"/>
          <w:szCs w:val="32"/>
          <w:u w:val="none" w:color="auto"/>
          <w:lang w:val="en-US" w:eastAsia="zh-CN"/>
        </w:rPr>
        <w:t>146.88</w:t>
      </w:r>
      <w:r>
        <w:rPr>
          <w:rFonts w:ascii="仿宋_GB2312" w:hAnsi="仿宋_GB2312" w:eastAsia="仿宋_GB2312" w:cs="仿宋_GB2312"/>
          <w:color w:val="000000"/>
          <w:kern w:val="0"/>
          <w:sz w:val="32"/>
          <w:szCs w:val="32"/>
          <w:u w:val="none" w:color="auto"/>
        </w:rPr>
        <w:t>万元，执行数为</w:t>
      </w:r>
      <w:r>
        <w:rPr>
          <w:rFonts w:hint="eastAsia" w:ascii="仿宋_GB2312" w:hAnsi="仿宋_GB2312" w:eastAsia="仿宋_GB2312" w:cs="仿宋_GB2312"/>
          <w:color w:val="000000"/>
          <w:kern w:val="0"/>
          <w:sz w:val="32"/>
          <w:szCs w:val="32"/>
          <w:u w:val="none" w:color="auto"/>
          <w:lang w:val="en-US" w:eastAsia="zh-CN"/>
        </w:rPr>
        <w:t>146.28</w:t>
      </w:r>
      <w:r>
        <w:rPr>
          <w:rFonts w:ascii="仿宋_GB2312" w:hAnsi="仿宋_GB2312" w:eastAsia="仿宋_GB2312" w:cs="仿宋_GB2312"/>
          <w:color w:val="000000"/>
          <w:kern w:val="0"/>
          <w:sz w:val="32"/>
          <w:szCs w:val="32"/>
          <w:u w:val="none" w:color="auto"/>
        </w:rPr>
        <w:t>万元，完成预算的</w:t>
      </w:r>
      <w:r>
        <w:rPr>
          <w:rFonts w:hint="eastAsia" w:ascii="仿宋_GB2312" w:hAnsi="仿宋_GB2312" w:eastAsia="仿宋_GB2312" w:cs="仿宋_GB2312"/>
          <w:color w:val="000000"/>
          <w:kern w:val="0"/>
          <w:sz w:val="32"/>
          <w:szCs w:val="32"/>
          <w:u w:val="none" w:color="auto"/>
          <w:lang w:val="en-US" w:eastAsia="zh-CN"/>
        </w:rPr>
        <w:t>99.59</w:t>
      </w:r>
      <w:r>
        <w:rPr>
          <w:rFonts w:ascii="仿宋_GB2312" w:hAnsi="仿宋_GB2312" w:eastAsia="仿宋_GB2312" w:cs="仿宋_GB2312"/>
          <w:color w:val="000000"/>
          <w:kern w:val="0"/>
          <w:sz w:val="32"/>
          <w:szCs w:val="32"/>
          <w:u w:val="none" w:color="auto"/>
        </w:rPr>
        <w:t>%。项目绩效目标完成情况：</w:t>
      </w:r>
      <w:r>
        <w:rPr>
          <w:rFonts w:hint="eastAsia" w:ascii="仿宋_GB2312" w:hAnsi="仿宋_GB2312" w:eastAsia="仿宋_GB2312" w:cs="仿宋_GB2312"/>
          <w:color w:val="000000"/>
          <w:kern w:val="0"/>
          <w:sz w:val="32"/>
          <w:szCs w:val="32"/>
          <w:u w:val="none" w:color="auto"/>
        </w:rPr>
        <w:t>本项目经费执行率99.59%，大大推进了检查办案工作力度，保障了办案业务工作所需经费，较好</w:t>
      </w:r>
      <w:r>
        <w:rPr>
          <w:rFonts w:hint="eastAsia" w:ascii="仿宋_GB2312" w:hAnsi="仿宋_GB2312" w:eastAsia="仿宋_GB2312" w:cs="仿宋_GB2312"/>
          <w:color w:val="000000"/>
          <w:kern w:val="0"/>
          <w:sz w:val="32"/>
          <w:szCs w:val="32"/>
          <w:u w:val="none" w:color="auto"/>
          <w:lang w:eastAsia="zh-CN"/>
        </w:rPr>
        <w:t>地</w:t>
      </w:r>
      <w:r>
        <w:rPr>
          <w:rFonts w:hint="eastAsia" w:ascii="仿宋_GB2312" w:hAnsi="仿宋_GB2312" w:eastAsia="仿宋_GB2312" w:cs="仿宋_GB2312"/>
          <w:color w:val="000000"/>
          <w:kern w:val="0"/>
          <w:sz w:val="32"/>
          <w:szCs w:val="32"/>
          <w:u w:val="none" w:color="auto"/>
        </w:rPr>
        <w:t>完成了年初设定的绩效目标，数量指标、质量指标、实效指标等基本达到预期效果，进一步促进了我院检察工作再上新台阶。</w:t>
      </w:r>
      <w:r>
        <w:rPr>
          <w:rFonts w:ascii="仿宋_GB2312" w:hAnsi="仿宋_GB2312" w:eastAsia="仿宋_GB2312" w:cs="仿宋_GB2312"/>
          <w:color w:val="000000"/>
          <w:kern w:val="0"/>
          <w:sz w:val="32"/>
          <w:szCs w:val="32"/>
          <w:u w:val="none" w:color="auto"/>
        </w:rPr>
        <w:t>发现的主要问题及原因：</w:t>
      </w:r>
      <w:r>
        <w:rPr>
          <w:rFonts w:hint="eastAsia" w:ascii="仿宋_GB2312" w:hAnsi="仿宋_GB2312" w:eastAsia="仿宋_GB2312" w:cs="仿宋_GB2312"/>
          <w:color w:val="000000"/>
          <w:kern w:val="0"/>
          <w:sz w:val="32"/>
          <w:szCs w:val="32"/>
          <w:u w:val="none" w:color="auto"/>
          <w:lang w:val="en-US" w:eastAsia="zh-CN"/>
        </w:rPr>
        <w:t>资金管理使用存在问题，支出进度较慢。</w:t>
      </w:r>
      <w:r>
        <w:rPr>
          <w:rFonts w:ascii="仿宋_GB2312" w:hAnsi="仿宋_GB2312" w:eastAsia="仿宋_GB2312" w:cs="仿宋_GB2312"/>
          <w:color w:val="000000"/>
          <w:kern w:val="0"/>
          <w:sz w:val="32"/>
          <w:szCs w:val="32"/>
          <w:u w:val="none" w:color="auto"/>
        </w:rPr>
        <w:t>下一步改进措施：</w:t>
      </w:r>
      <w:r>
        <w:rPr>
          <w:rFonts w:hint="eastAsia" w:ascii="仿宋_GB2312" w:hAnsi="仿宋_GB2312" w:eastAsia="仿宋_GB2312" w:cs="仿宋_GB2312"/>
          <w:color w:val="000000"/>
          <w:kern w:val="0"/>
          <w:sz w:val="32"/>
          <w:szCs w:val="32"/>
          <w:u w:val="none" w:color="auto"/>
        </w:rPr>
        <w:t>将绩效评价作为项目的重要组成部分进行申报、监控、自评等系列程序，通过自评得分对项目决策提供科学有效</w:t>
      </w:r>
      <w:r>
        <w:rPr>
          <w:rFonts w:hint="eastAsia" w:ascii="仿宋_GB2312" w:hAnsi="仿宋_GB2312" w:eastAsia="仿宋_GB2312" w:cs="仿宋_GB2312"/>
          <w:color w:val="000000"/>
          <w:kern w:val="0"/>
          <w:sz w:val="32"/>
          <w:szCs w:val="32"/>
          <w:u w:val="none" w:color="auto"/>
          <w:lang w:eastAsia="zh-CN"/>
        </w:rPr>
        <w:t>的</w:t>
      </w:r>
      <w:r>
        <w:rPr>
          <w:rFonts w:hint="eastAsia" w:ascii="仿宋_GB2312" w:hAnsi="仿宋_GB2312" w:eastAsia="仿宋_GB2312" w:cs="仿宋_GB2312"/>
          <w:color w:val="000000"/>
          <w:kern w:val="0"/>
          <w:sz w:val="32"/>
          <w:szCs w:val="32"/>
          <w:u w:val="none" w:color="auto"/>
        </w:rPr>
        <w:t>信息，切实提升决策能力，将继续细化绩效指标，让指标内容更加全面，指标赋值更加合理，整体更具参考价值。希望上级财政部门多组织一些学习、培训等，加大对单位绩效评价人员的培训力度，进一步统一认识，充实业务知识。</w:t>
      </w:r>
    </w:p>
    <w:p w14:paraId="7D031120">
      <w:pPr>
        <w:keepNext w:val="0"/>
        <w:keepLines w:val="0"/>
        <w:pageBreakBefore w:val="0"/>
        <w:widowControl/>
        <w:kinsoku/>
        <w:wordWrap/>
        <w:overflowPunct/>
        <w:topLinePunct w:val="0"/>
        <w:autoSpaceDE/>
        <w:autoSpaceDN/>
        <w:bidi w:val="0"/>
        <w:spacing w:afterAutospacing="0" w:line="560" w:lineRule="exact"/>
        <w:ind w:firstLine="640" w:firstLineChars="200"/>
        <w:textAlignment w:val="auto"/>
        <w:rPr>
          <w:rFonts w:hint="eastAsia" w:ascii="仿宋_GB2312" w:hAnsi="仿宋_GB2312" w:eastAsia="仿宋_GB2312" w:cs="仿宋_GB2312"/>
          <w:color w:val="000000"/>
          <w:kern w:val="0"/>
          <w:sz w:val="32"/>
          <w:szCs w:val="32"/>
          <w:u w:val="none" w:color="auto"/>
        </w:rPr>
      </w:pPr>
    </w:p>
    <w:tbl>
      <w:tblPr>
        <w:tblW w:w="89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848"/>
        <w:gridCol w:w="848"/>
        <w:gridCol w:w="848"/>
        <w:gridCol w:w="849"/>
        <w:gridCol w:w="664"/>
        <w:gridCol w:w="683"/>
        <w:gridCol w:w="650"/>
        <w:gridCol w:w="733"/>
        <w:gridCol w:w="900"/>
        <w:gridCol w:w="700"/>
        <w:gridCol w:w="484"/>
        <w:gridCol w:w="383"/>
        <w:gridCol w:w="367"/>
      </w:tblGrid>
      <w:tr w14:paraId="17ED5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960" w:hRule="atLeast"/>
        </w:trPr>
        <w:tc>
          <w:tcPr>
            <w:tcW w:w="8957" w:type="dxa"/>
            <w:gridSpan w:val="13"/>
            <w:tcBorders>
              <w:top w:val="single" w:color="000000" w:sz="4" w:space="0"/>
              <w:left w:val="single" w:color="000000" w:sz="4" w:space="0"/>
              <w:bottom w:val="single" w:color="000000" w:sz="4" w:space="0"/>
              <w:right w:val="single" w:color="000000" w:sz="4" w:space="0"/>
            </w:tcBorders>
            <w:shd w:val="clear"/>
            <w:vAlign w:val="center"/>
          </w:tcPr>
          <w:p w14:paraId="34BC973E">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项目支出绩效自评表</w:t>
            </w:r>
            <w:r>
              <w:rPr>
                <w:rFonts w:hint="eastAsia" w:ascii="宋体" w:hAnsi="宋体" w:eastAsia="宋体" w:cs="宋体"/>
                <w:b/>
                <w:bCs/>
                <w:i w:val="0"/>
                <w:iCs w:val="0"/>
                <w:color w:val="000000"/>
                <w:kern w:val="0"/>
                <w:sz w:val="40"/>
                <w:szCs w:val="40"/>
                <w:u w:val="none"/>
                <w:bdr w:val="none" w:color="auto" w:sz="0" w:space="0"/>
                <w:lang w:val="en-US" w:eastAsia="zh-CN" w:bidi="ar"/>
              </w:rPr>
              <w:br w:type="textWrapping"/>
            </w:r>
            <w:r>
              <w:rPr>
                <w:rFonts w:hint="eastAsia" w:ascii="宋体" w:hAnsi="宋体" w:cs="宋体"/>
                <w:b/>
                <w:bCs/>
                <w:i w:val="0"/>
                <w:iCs w:val="0"/>
                <w:color w:val="000000"/>
                <w:kern w:val="0"/>
                <w:sz w:val="40"/>
                <w:szCs w:val="40"/>
                <w:u w:val="none"/>
                <w:bdr w:val="none" w:color="auto" w:sz="0" w:space="0"/>
                <w:lang w:val="en-US" w:eastAsia="zh-CN" w:bidi="ar"/>
              </w:rPr>
              <w:t>（</w:t>
            </w:r>
            <w:r>
              <w:rPr>
                <w:rFonts w:hint="eastAsia" w:ascii="宋体" w:hAnsi="宋体" w:eastAsia="宋体" w:cs="宋体"/>
                <w:b/>
                <w:bCs/>
                <w:i w:val="0"/>
                <w:iCs w:val="0"/>
                <w:color w:val="000000"/>
                <w:kern w:val="0"/>
                <w:sz w:val="40"/>
                <w:szCs w:val="40"/>
                <w:u w:val="none"/>
                <w:bdr w:val="none" w:color="auto" w:sz="0" w:space="0"/>
                <w:lang w:val="en-US" w:eastAsia="zh-CN" w:bidi="ar"/>
              </w:rPr>
              <w:t>2024年度）</w:t>
            </w:r>
          </w:p>
        </w:tc>
      </w:tr>
      <w:tr w14:paraId="5121D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79" w:hRule="atLeast"/>
        </w:trPr>
        <w:tc>
          <w:tcPr>
            <w:tcW w:w="1696" w:type="dxa"/>
            <w:gridSpan w:val="2"/>
            <w:tcBorders>
              <w:top w:val="single" w:color="000000" w:sz="4" w:space="0"/>
              <w:left w:val="single" w:color="000000" w:sz="4" w:space="0"/>
              <w:bottom w:val="single" w:color="000000" w:sz="4" w:space="0"/>
              <w:right w:val="single" w:color="000000" w:sz="4" w:space="0"/>
            </w:tcBorders>
            <w:shd w:val="clear"/>
            <w:vAlign w:val="center"/>
          </w:tcPr>
          <w:p w14:paraId="63AA71B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7261" w:type="dxa"/>
            <w:gridSpan w:val="11"/>
            <w:tcBorders>
              <w:top w:val="single" w:color="000000" w:sz="4" w:space="0"/>
              <w:left w:val="single" w:color="000000" w:sz="4" w:space="0"/>
              <w:bottom w:val="single" w:color="000000" w:sz="4" w:space="0"/>
              <w:right w:val="single" w:color="000000" w:sz="4" w:space="0"/>
            </w:tcBorders>
            <w:shd w:val="clear"/>
            <w:vAlign w:val="center"/>
          </w:tcPr>
          <w:p w14:paraId="0B78A6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办案（业务）经费</w:t>
            </w:r>
          </w:p>
        </w:tc>
      </w:tr>
      <w:tr w14:paraId="41615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79" w:hRule="atLeast"/>
        </w:trPr>
        <w:tc>
          <w:tcPr>
            <w:tcW w:w="1696" w:type="dxa"/>
            <w:gridSpan w:val="2"/>
            <w:tcBorders>
              <w:top w:val="single" w:color="000000" w:sz="4" w:space="0"/>
              <w:left w:val="single" w:color="000000" w:sz="4" w:space="0"/>
              <w:bottom w:val="single" w:color="000000" w:sz="4" w:space="0"/>
              <w:right w:val="single" w:color="000000" w:sz="4" w:space="0"/>
            </w:tcBorders>
            <w:shd w:val="clear"/>
            <w:vAlign w:val="center"/>
          </w:tcPr>
          <w:p w14:paraId="203C9E1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3044" w:type="dxa"/>
            <w:gridSpan w:val="4"/>
            <w:tcBorders>
              <w:top w:val="single" w:color="000000" w:sz="4" w:space="0"/>
              <w:left w:val="single" w:color="000000" w:sz="4" w:space="0"/>
              <w:bottom w:val="single" w:color="000000" w:sz="4" w:space="0"/>
              <w:right w:val="single" w:color="000000" w:sz="4" w:space="0"/>
            </w:tcBorders>
            <w:shd w:val="clear"/>
            <w:vAlign w:val="center"/>
          </w:tcPr>
          <w:p w14:paraId="61507A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多伦县人民检察院部门</w:t>
            </w:r>
          </w:p>
        </w:tc>
        <w:tc>
          <w:tcPr>
            <w:tcW w:w="1383" w:type="dxa"/>
            <w:gridSpan w:val="2"/>
            <w:tcBorders>
              <w:top w:val="single" w:color="000000" w:sz="4" w:space="0"/>
              <w:left w:val="single" w:color="000000" w:sz="4" w:space="0"/>
              <w:bottom w:val="single" w:color="000000" w:sz="4" w:space="0"/>
              <w:right w:val="single" w:color="000000" w:sz="4" w:space="0"/>
            </w:tcBorders>
            <w:shd w:val="clear"/>
            <w:vAlign w:val="center"/>
          </w:tcPr>
          <w:p w14:paraId="50621C6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2834" w:type="dxa"/>
            <w:gridSpan w:val="5"/>
            <w:tcBorders>
              <w:top w:val="single" w:color="000000" w:sz="4" w:space="0"/>
              <w:left w:val="single" w:color="000000" w:sz="4" w:space="0"/>
              <w:bottom w:val="single" w:color="000000" w:sz="4" w:space="0"/>
              <w:right w:val="single" w:color="000000" w:sz="4" w:space="0"/>
            </w:tcBorders>
            <w:shd w:val="clear"/>
            <w:vAlign w:val="center"/>
          </w:tcPr>
          <w:p w14:paraId="722AFF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多伦县人民检察院</w:t>
            </w:r>
          </w:p>
        </w:tc>
      </w:tr>
      <w:tr w14:paraId="335CA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379" w:hRule="atLeast"/>
        </w:trPr>
        <w:tc>
          <w:tcPr>
            <w:tcW w:w="169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C96E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848" w:type="dxa"/>
            <w:tcBorders>
              <w:top w:val="single" w:color="000000" w:sz="4" w:space="0"/>
              <w:left w:val="single" w:color="000000" w:sz="4" w:space="0"/>
              <w:bottom w:val="single" w:color="000000" w:sz="4" w:space="0"/>
              <w:right w:val="single" w:color="000000" w:sz="4" w:space="0"/>
            </w:tcBorders>
            <w:shd w:val="clear"/>
            <w:vAlign w:val="center"/>
          </w:tcPr>
          <w:p w14:paraId="47468B64">
            <w:pPr>
              <w:rPr>
                <w:rFonts w:hint="eastAsia" w:ascii="宋体" w:hAnsi="宋体" w:eastAsia="宋体" w:cs="宋体"/>
                <w:i w:val="0"/>
                <w:iCs w:val="0"/>
                <w:color w:val="000000"/>
                <w:sz w:val="18"/>
                <w:szCs w:val="18"/>
                <w:u w:val="none"/>
              </w:rPr>
            </w:pPr>
          </w:p>
        </w:tc>
        <w:tc>
          <w:tcPr>
            <w:tcW w:w="849" w:type="dxa"/>
            <w:tcBorders>
              <w:top w:val="single" w:color="000000" w:sz="4" w:space="0"/>
              <w:left w:val="single" w:color="000000" w:sz="4" w:space="0"/>
              <w:bottom w:val="single" w:color="000000" w:sz="4" w:space="0"/>
              <w:right w:val="single" w:color="000000" w:sz="4" w:space="0"/>
            </w:tcBorders>
            <w:shd w:val="clear"/>
            <w:vAlign w:val="center"/>
          </w:tcPr>
          <w:p w14:paraId="1F90F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1347" w:type="dxa"/>
            <w:gridSpan w:val="2"/>
            <w:tcBorders>
              <w:top w:val="single" w:color="000000" w:sz="4" w:space="0"/>
              <w:left w:val="single" w:color="000000" w:sz="4" w:space="0"/>
              <w:bottom w:val="single" w:color="000000" w:sz="4" w:space="0"/>
              <w:right w:val="single" w:color="000000" w:sz="4" w:space="0"/>
            </w:tcBorders>
            <w:shd w:val="clear"/>
            <w:vAlign w:val="center"/>
          </w:tcPr>
          <w:p w14:paraId="3B4B9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1383" w:type="dxa"/>
            <w:gridSpan w:val="2"/>
            <w:tcBorders>
              <w:top w:val="single" w:color="000000" w:sz="4" w:space="0"/>
              <w:left w:val="single" w:color="000000" w:sz="4" w:space="0"/>
              <w:bottom w:val="single" w:color="000000" w:sz="4" w:space="0"/>
              <w:right w:val="single" w:color="000000" w:sz="4" w:space="0"/>
            </w:tcBorders>
            <w:shd w:val="clear"/>
            <w:vAlign w:val="center"/>
          </w:tcPr>
          <w:p w14:paraId="77DA9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14:paraId="39DF0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567" w:type="dxa"/>
            <w:gridSpan w:val="3"/>
            <w:tcBorders>
              <w:top w:val="single" w:color="000000" w:sz="4" w:space="0"/>
              <w:left w:val="single" w:color="000000" w:sz="4" w:space="0"/>
              <w:bottom w:val="single" w:color="000000" w:sz="4" w:space="0"/>
              <w:right w:val="single" w:color="000000" w:sz="4" w:space="0"/>
            </w:tcBorders>
            <w:shd w:val="clear"/>
            <w:vAlign w:val="center"/>
          </w:tcPr>
          <w:p w14:paraId="59BC9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367" w:type="dxa"/>
            <w:tcBorders>
              <w:top w:val="single" w:color="000000" w:sz="4" w:space="0"/>
              <w:left w:val="single" w:color="000000" w:sz="4" w:space="0"/>
              <w:bottom w:val="single" w:color="000000" w:sz="4" w:space="0"/>
              <w:right w:val="single" w:color="000000" w:sz="4" w:space="0"/>
            </w:tcBorders>
            <w:shd w:val="clear"/>
            <w:vAlign w:val="center"/>
          </w:tcPr>
          <w:p w14:paraId="3B983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407A5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79" w:hRule="atLeast"/>
        </w:trPr>
        <w:tc>
          <w:tcPr>
            <w:tcW w:w="169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89C8875">
            <w:pPr>
              <w:jc w:val="cente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vAlign w:val="center"/>
          </w:tcPr>
          <w:p w14:paraId="025C0A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849" w:type="dxa"/>
            <w:tcBorders>
              <w:top w:val="single" w:color="000000" w:sz="4" w:space="0"/>
              <w:left w:val="single" w:color="000000" w:sz="4" w:space="0"/>
              <w:bottom w:val="single" w:color="000000" w:sz="4" w:space="0"/>
              <w:right w:val="single" w:color="000000" w:sz="4" w:space="0"/>
            </w:tcBorders>
            <w:shd w:val="clear"/>
            <w:vAlign w:val="center"/>
          </w:tcPr>
          <w:p w14:paraId="302542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136.88</w:t>
            </w:r>
          </w:p>
        </w:tc>
        <w:tc>
          <w:tcPr>
            <w:tcW w:w="1347" w:type="dxa"/>
            <w:gridSpan w:val="2"/>
            <w:tcBorders>
              <w:top w:val="single" w:color="000000" w:sz="4" w:space="0"/>
              <w:left w:val="single" w:color="000000" w:sz="4" w:space="0"/>
              <w:bottom w:val="single" w:color="000000" w:sz="4" w:space="0"/>
              <w:right w:val="single" w:color="000000" w:sz="4" w:space="0"/>
            </w:tcBorders>
            <w:shd w:val="clear"/>
            <w:vAlign w:val="center"/>
          </w:tcPr>
          <w:p w14:paraId="3BF21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146.88</w:t>
            </w:r>
          </w:p>
        </w:tc>
        <w:tc>
          <w:tcPr>
            <w:tcW w:w="1383" w:type="dxa"/>
            <w:gridSpan w:val="2"/>
            <w:tcBorders>
              <w:top w:val="single" w:color="000000" w:sz="4" w:space="0"/>
              <w:left w:val="single" w:color="000000" w:sz="4" w:space="0"/>
              <w:bottom w:val="single" w:color="000000" w:sz="4" w:space="0"/>
              <w:right w:val="single" w:color="000000" w:sz="4" w:space="0"/>
            </w:tcBorders>
            <w:shd w:val="clear"/>
            <w:vAlign w:val="center"/>
          </w:tcPr>
          <w:p w14:paraId="03B5AA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146.28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14:paraId="77BDB6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567" w:type="dxa"/>
            <w:gridSpan w:val="3"/>
            <w:tcBorders>
              <w:top w:val="single" w:color="000000" w:sz="4" w:space="0"/>
              <w:left w:val="single" w:color="000000" w:sz="4" w:space="0"/>
              <w:bottom w:val="single" w:color="000000" w:sz="4" w:space="0"/>
              <w:right w:val="single" w:color="000000" w:sz="4" w:space="0"/>
            </w:tcBorders>
            <w:shd w:val="clear"/>
            <w:vAlign w:val="center"/>
          </w:tcPr>
          <w:p w14:paraId="6A1F97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99.59</w:t>
            </w:r>
          </w:p>
        </w:tc>
        <w:tc>
          <w:tcPr>
            <w:tcW w:w="367" w:type="dxa"/>
            <w:tcBorders>
              <w:top w:val="single" w:color="000000" w:sz="4" w:space="0"/>
              <w:left w:val="single" w:color="000000" w:sz="4" w:space="0"/>
              <w:bottom w:val="single" w:color="000000" w:sz="4" w:space="0"/>
              <w:right w:val="single" w:color="000000" w:sz="4" w:space="0"/>
            </w:tcBorders>
            <w:shd w:val="clear"/>
            <w:vAlign w:val="center"/>
          </w:tcPr>
          <w:p w14:paraId="6E907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9.96</w:t>
            </w:r>
          </w:p>
        </w:tc>
      </w:tr>
      <w:tr w14:paraId="4CEEB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79" w:hRule="atLeast"/>
        </w:trPr>
        <w:tc>
          <w:tcPr>
            <w:tcW w:w="169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0B54A09">
            <w:pPr>
              <w:jc w:val="cente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vAlign w:val="center"/>
          </w:tcPr>
          <w:p w14:paraId="07BE3AF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其中：财政拨款</w:t>
            </w:r>
          </w:p>
        </w:tc>
        <w:tc>
          <w:tcPr>
            <w:tcW w:w="849" w:type="dxa"/>
            <w:tcBorders>
              <w:top w:val="single" w:color="000000" w:sz="4" w:space="0"/>
              <w:left w:val="single" w:color="000000" w:sz="4" w:space="0"/>
              <w:bottom w:val="single" w:color="000000" w:sz="4" w:space="0"/>
              <w:right w:val="single" w:color="000000" w:sz="4" w:space="0"/>
            </w:tcBorders>
            <w:shd w:val="clear"/>
            <w:vAlign w:val="center"/>
          </w:tcPr>
          <w:p w14:paraId="0DF38A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136.88</w:t>
            </w:r>
          </w:p>
        </w:tc>
        <w:tc>
          <w:tcPr>
            <w:tcW w:w="1347" w:type="dxa"/>
            <w:gridSpan w:val="2"/>
            <w:tcBorders>
              <w:top w:val="single" w:color="000000" w:sz="4" w:space="0"/>
              <w:left w:val="single" w:color="000000" w:sz="4" w:space="0"/>
              <w:bottom w:val="single" w:color="000000" w:sz="4" w:space="0"/>
              <w:right w:val="single" w:color="000000" w:sz="4" w:space="0"/>
            </w:tcBorders>
            <w:shd w:val="clear"/>
            <w:vAlign w:val="center"/>
          </w:tcPr>
          <w:p w14:paraId="17CDC3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146.88</w:t>
            </w:r>
          </w:p>
        </w:tc>
        <w:tc>
          <w:tcPr>
            <w:tcW w:w="1383" w:type="dxa"/>
            <w:gridSpan w:val="2"/>
            <w:tcBorders>
              <w:top w:val="single" w:color="000000" w:sz="4" w:space="0"/>
              <w:left w:val="single" w:color="000000" w:sz="4" w:space="0"/>
              <w:bottom w:val="single" w:color="000000" w:sz="4" w:space="0"/>
              <w:right w:val="single" w:color="000000" w:sz="4" w:space="0"/>
            </w:tcBorders>
            <w:shd w:val="clear"/>
            <w:vAlign w:val="center"/>
          </w:tcPr>
          <w:p w14:paraId="53A51E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146.28</w:t>
            </w:r>
          </w:p>
        </w:tc>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6B3817E4">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1567" w:type="dxa"/>
            <w:gridSpan w:val="3"/>
            <w:tcBorders>
              <w:top w:val="single" w:color="000000" w:sz="4" w:space="0"/>
              <w:left w:val="single" w:color="000000" w:sz="4" w:space="0"/>
              <w:bottom w:val="single" w:color="000000" w:sz="4" w:space="0"/>
              <w:right w:val="single" w:color="000000" w:sz="4" w:space="0"/>
            </w:tcBorders>
            <w:shd w:val="clear"/>
            <w:vAlign w:val="center"/>
          </w:tcPr>
          <w:p w14:paraId="52DB5B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99.59</w:t>
            </w:r>
          </w:p>
        </w:tc>
        <w:tc>
          <w:tcPr>
            <w:tcW w:w="367" w:type="dxa"/>
            <w:tcBorders>
              <w:top w:val="single" w:color="000000" w:sz="4" w:space="0"/>
              <w:left w:val="single" w:color="000000" w:sz="4" w:space="0"/>
              <w:bottom w:val="single" w:color="000000" w:sz="4" w:space="0"/>
              <w:right w:val="single" w:color="000000" w:sz="4" w:space="0"/>
            </w:tcBorders>
            <w:shd w:val="clear"/>
            <w:noWrap/>
            <w:vAlign w:val="center"/>
          </w:tcPr>
          <w:p w14:paraId="62D525D8">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6AF5D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379" w:hRule="atLeast"/>
        </w:trPr>
        <w:tc>
          <w:tcPr>
            <w:tcW w:w="169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F5B4ED8">
            <w:pPr>
              <w:jc w:val="cente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vAlign w:val="center"/>
          </w:tcPr>
          <w:p w14:paraId="22654C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上年结转资金</w:t>
            </w:r>
          </w:p>
        </w:tc>
        <w:tc>
          <w:tcPr>
            <w:tcW w:w="849" w:type="dxa"/>
            <w:tcBorders>
              <w:top w:val="single" w:color="000000" w:sz="4" w:space="0"/>
              <w:left w:val="single" w:color="000000" w:sz="4" w:space="0"/>
              <w:bottom w:val="single" w:color="000000" w:sz="4" w:space="0"/>
              <w:right w:val="single" w:color="000000" w:sz="4" w:space="0"/>
            </w:tcBorders>
            <w:shd w:val="clear"/>
            <w:vAlign w:val="center"/>
          </w:tcPr>
          <w:p w14:paraId="50BE5A23">
            <w:pPr>
              <w:rPr>
                <w:rFonts w:hint="eastAsia" w:ascii="宋体" w:hAnsi="宋体" w:eastAsia="宋体" w:cs="宋体"/>
                <w:i w:val="0"/>
                <w:iCs w:val="0"/>
                <w:color w:val="000000"/>
                <w:sz w:val="18"/>
                <w:szCs w:val="18"/>
                <w:u w:val="none"/>
              </w:rPr>
            </w:pPr>
          </w:p>
        </w:tc>
        <w:tc>
          <w:tcPr>
            <w:tcW w:w="1347" w:type="dxa"/>
            <w:gridSpan w:val="2"/>
            <w:tcBorders>
              <w:top w:val="single" w:color="000000" w:sz="4" w:space="0"/>
              <w:left w:val="single" w:color="000000" w:sz="4" w:space="0"/>
              <w:bottom w:val="single" w:color="000000" w:sz="4" w:space="0"/>
              <w:right w:val="single" w:color="000000" w:sz="4" w:space="0"/>
            </w:tcBorders>
            <w:shd w:val="clear"/>
            <w:vAlign w:val="center"/>
          </w:tcPr>
          <w:p w14:paraId="7122C9BD">
            <w:pPr>
              <w:jc w:val="center"/>
              <w:rPr>
                <w:rFonts w:hint="eastAsia" w:ascii="宋体" w:hAnsi="宋体" w:eastAsia="宋体" w:cs="宋体"/>
                <w:i w:val="0"/>
                <w:iCs w:val="0"/>
                <w:color w:val="000000"/>
                <w:sz w:val="18"/>
                <w:szCs w:val="18"/>
                <w:u w:val="none"/>
              </w:rPr>
            </w:pPr>
          </w:p>
        </w:tc>
        <w:tc>
          <w:tcPr>
            <w:tcW w:w="1383" w:type="dxa"/>
            <w:gridSpan w:val="2"/>
            <w:tcBorders>
              <w:top w:val="single" w:color="000000" w:sz="4" w:space="0"/>
              <w:left w:val="single" w:color="000000" w:sz="4" w:space="0"/>
              <w:bottom w:val="single" w:color="000000" w:sz="4" w:space="0"/>
              <w:right w:val="single" w:color="000000" w:sz="4" w:space="0"/>
            </w:tcBorders>
            <w:shd w:val="clear"/>
            <w:vAlign w:val="center"/>
          </w:tcPr>
          <w:p w14:paraId="1B206073">
            <w:pPr>
              <w:jc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DBA320D">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1567" w:type="dxa"/>
            <w:gridSpan w:val="3"/>
            <w:tcBorders>
              <w:top w:val="single" w:color="000000" w:sz="4" w:space="0"/>
              <w:left w:val="single" w:color="000000" w:sz="4" w:space="0"/>
              <w:bottom w:val="single" w:color="000000" w:sz="4" w:space="0"/>
              <w:right w:val="single" w:color="000000" w:sz="4" w:space="0"/>
            </w:tcBorders>
            <w:shd w:val="clear"/>
            <w:vAlign w:val="center"/>
          </w:tcPr>
          <w:p w14:paraId="52E6688F">
            <w:pPr>
              <w:jc w:val="center"/>
              <w:rPr>
                <w:rFonts w:hint="eastAsia" w:ascii="宋体" w:hAnsi="宋体" w:eastAsia="宋体" w:cs="宋体"/>
                <w:i w:val="0"/>
                <w:iCs w:val="0"/>
                <w:color w:val="000000"/>
                <w:sz w:val="18"/>
                <w:szCs w:val="18"/>
                <w:u w:val="none"/>
              </w:rPr>
            </w:pPr>
          </w:p>
        </w:tc>
        <w:tc>
          <w:tcPr>
            <w:tcW w:w="367" w:type="dxa"/>
            <w:tcBorders>
              <w:top w:val="single" w:color="000000" w:sz="4" w:space="0"/>
              <w:left w:val="single" w:color="000000" w:sz="4" w:space="0"/>
              <w:bottom w:val="single" w:color="000000" w:sz="4" w:space="0"/>
              <w:right w:val="single" w:color="000000" w:sz="4" w:space="0"/>
            </w:tcBorders>
            <w:shd w:val="clear"/>
            <w:noWrap/>
            <w:vAlign w:val="center"/>
          </w:tcPr>
          <w:p w14:paraId="7B8E9355">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521F8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79" w:hRule="atLeast"/>
        </w:trPr>
        <w:tc>
          <w:tcPr>
            <w:tcW w:w="169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1705832">
            <w:pPr>
              <w:jc w:val="cente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single" w:color="000000" w:sz="4" w:space="0"/>
              <w:right w:val="single" w:color="000000" w:sz="4" w:space="0"/>
            </w:tcBorders>
            <w:shd w:val="clear"/>
            <w:vAlign w:val="center"/>
          </w:tcPr>
          <w:p w14:paraId="0B4B4D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其他资金</w:t>
            </w:r>
          </w:p>
        </w:tc>
        <w:tc>
          <w:tcPr>
            <w:tcW w:w="849" w:type="dxa"/>
            <w:tcBorders>
              <w:top w:val="single" w:color="000000" w:sz="4" w:space="0"/>
              <w:left w:val="single" w:color="000000" w:sz="4" w:space="0"/>
              <w:bottom w:val="single" w:color="000000" w:sz="4" w:space="0"/>
              <w:right w:val="single" w:color="000000" w:sz="4" w:space="0"/>
            </w:tcBorders>
            <w:shd w:val="clear"/>
            <w:vAlign w:val="center"/>
          </w:tcPr>
          <w:p w14:paraId="4AFD9F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1347" w:type="dxa"/>
            <w:gridSpan w:val="2"/>
            <w:tcBorders>
              <w:top w:val="single" w:color="000000" w:sz="4" w:space="0"/>
              <w:left w:val="single" w:color="000000" w:sz="4" w:space="0"/>
              <w:bottom w:val="single" w:color="000000" w:sz="4" w:space="0"/>
              <w:right w:val="single" w:color="000000" w:sz="4" w:space="0"/>
            </w:tcBorders>
            <w:shd w:val="clear"/>
            <w:vAlign w:val="center"/>
          </w:tcPr>
          <w:p w14:paraId="0B4D55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1383" w:type="dxa"/>
            <w:gridSpan w:val="2"/>
            <w:tcBorders>
              <w:top w:val="single" w:color="000000" w:sz="4" w:space="0"/>
              <w:left w:val="single" w:color="000000" w:sz="4" w:space="0"/>
              <w:bottom w:val="single" w:color="000000" w:sz="4" w:space="0"/>
              <w:right w:val="single" w:color="000000" w:sz="4" w:space="0"/>
            </w:tcBorders>
            <w:shd w:val="clear"/>
            <w:vAlign w:val="center"/>
          </w:tcPr>
          <w:p w14:paraId="2E4B6E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7F9BDCB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1567" w:type="dxa"/>
            <w:gridSpan w:val="3"/>
            <w:tcBorders>
              <w:top w:val="single" w:color="000000" w:sz="4" w:space="0"/>
              <w:left w:val="single" w:color="000000" w:sz="4" w:space="0"/>
              <w:bottom w:val="single" w:color="000000" w:sz="4" w:space="0"/>
              <w:right w:val="single" w:color="000000" w:sz="4" w:space="0"/>
            </w:tcBorders>
            <w:shd w:val="clear"/>
            <w:vAlign w:val="center"/>
          </w:tcPr>
          <w:p w14:paraId="652040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367" w:type="dxa"/>
            <w:tcBorders>
              <w:top w:val="single" w:color="000000" w:sz="4" w:space="0"/>
              <w:left w:val="single" w:color="000000" w:sz="4" w:space="0"/>
              <w:bottom w:val="single" w:color="000000" w:sz="4" w:space="0"/>
              <w:right w:val="single" w:color="000000" w:sz="4" w:space="0"/>
            </w:tcBorders>
            <w:shd w:val="clear"/>
            <w:noWrap/>
            <w:vAlign w:val="center"/>
          </w:tcPr>
          <w:p w14:paraId="02E6B2B4">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02CFC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79" w:hRule="atLeast"/>
        </w:trPr>
        <w:tc>
          <w:tcPr>
            <w:tcW w:w="169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2E587A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3694" w:type="dxa"/>
            <w:gridSpan w:val="5"/>
            <w:tcBorders>
              <w:top w:val="single" w:color="000000" w:sz="4" w:space="0"/>
              <w:left w:val="single" w:color="000000" w:sz="4" w:space="0"/>
              <w:bottom w:val="single" w:color="000000" w:sz="4" w:space="0"/>
              <w:right w:val="single" w:color="000000" w:sz="4" w:space="0"/>
            </w:tcBorders>
            <w:shd w:val="clear"/>
            <w:vAlign w:val="center"/>
          </w:tcPr>
          <w:p w14:paraId="6C6E2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3567" w:type="dxa"/>
            <w:gridSpan w:val="6"/>
            <w:tcBorders>
              <w:top w:val="single" w:color="000000" w:sz="4" w:space="0"/>
              <w:left w:val="single" w:color="000000" w:sz="4" w:space="0"/>
              <w:bottom w:val="single" w:color="000000" w:sz="4" w:space="0"/>
              <w:right w:val="single" w:color="000000" w:sz="4" w:space="0"/>
            </w:tcBorders>
            <w:shd w:val="clear"/>
            <w:vAlign w:val="center"/>
          </w:tcPr>
          <w:p w14:paraId="5516B9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5D3C7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1122" w:hRule="atLeast"/>
        </w:trPr>
        <w:tc>
          <w:tcPr>
            <w:tcW w:w="169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D5B11C5">
            <w:pPr>
              <w:jc w:val="center"/>
              <w:rPr>
                <w:rFonts w:hint="eastAsia" w:ascii="宋体" w:hAnsi="宋体" w:eastAsia="宋体" w:cs="宋体"/>
                <w:i w:val="0"/>
                <w:iCs w:val="0"/>
                <w:color w:val="000000"/>
                <w:sz w:val="18"/>
                <w:szCs w:val="18"/>
                <w:u w:val="none"/>
              </w:rPr>
            </w:pPr>
          </w:p>
        </w:tc>
        <w:tc>
          <w:tcPr>
            <w:tcW w:w="3694" w:type="dxa"/>
            <w:gridSpan w:val="5"/>
            <w:tcBorders>
              <w:top w:val="single" w:color="000000" w:sz="4" w:space="0"/>
              <w:left w:val="single" w:color="000000" w:sz="4" w:space="0"/>
              <w:bottom w:val="single" w:color="000000" w:sz="4" w:space="0"/>
              <w:right w:val="single" w:color="000000" w:sz="4" w:space="0"/>
            </w:tcBorders>
            <w:shd w:val="clear"/>
            <w:vAlign w:val="center"/>
          </w:tcPr>
          <w:p w14:paraId="40F7F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为提高检察服务大局水平，强化法律监督职能，推进检察办案工作力度，需保障检察机关正常开展办案业务工作所需的检察业务经费。办公费、培训费、邮电费、劳务费、差旅费、委托业务费、其他商品和服务支出、取暖费、物业费、维修（护）费、检察业务办案执法执勤用车所需公务用车运行维护费等经费支出均需严格遵守检察业务经费支出范围，遵守财务制度及各项财经法规。</w:t>
            </w:r>
          </w:p>
        </w:tc>
        <w:tc>
          <w:tcPr>
            <w:tcW w:w="3567" w:type="dxa"/>
            <w:gridSpan w:val="6"/>
            <w:tcBorders>
              <w:top w:val="single" w:color="000000" w:sz="4" w:space="0"/>
              <w:left w:val="single" w:color="000000" w:sz="4" w:space="0"/>
              <w:bottom w:val="single" w:color="000000" w:sz="4" w:space="0"/>
              <w:right w:val="single" w:color="000000" w:sz="4" w:space="0"/>
            </w:tcBorders>
            <w:shd w:val="clear"/>
            <w:vAlign w:val="center"/>
          </w:tcPr>
          <w:p w14:paraId="282C99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本项目经费执行率99.59%，大大推进了检查办案工作力度，保障了办案业务工作所需经费，较好</w:t>
            </w:r>
            <w:r>
              <w:rPr>
                <w:rFonts w:hint="eastAsia" w:ascii="宋体" w:hAnsi="宋体" w:cs="宋体"/>
                <w:i w:val="0"/>
                <w:iCs w:val="0"/>
                <w:color w:val="000000"/>
                <w:kern w:val="0"/>
                <w:sz w:val="18"/>
                <w:szCs w:val="18"/>
                <w:u w:val="none"/>
                <w:bdr w:val="none" w:color="auto" w:sz="0" w:space="0"/>
                <w:lang w:val="en-US" w:eastAsia="zh-CN" w:bidi="ar"/>
              </w:rPr>
              <w:t>地</w:t>
            </w:r>
            <w:r>
              <w:rPr>
                <w:rFonts w:hint="eastAsia" w:ascii="宋体" w:hAnsi="宋体" w:eastAsia="宋体" w:cs="宋体"/>
                <w:i w:val="0"/>
                <w:iCs w:val="0"/>
                <w:color w:val="000000"/>
                <w:kern w:val="0"/>
                <w:sz w:val="18"/>
                <w:szCs w:val="18"/>
                <w:u w:val="none"/>
                <w:bdr w:val="none" w:color="auto" w:sz="0" w:space="0"/>
                <w:lang w:val="en-US" w:eastAsia="zh-CN" w:bidi="ar"/>
              </w:rPr>
              <w:t>完成了年初设定的绩效目标，数量指标、质量指标、实效指标等基本达到预期效果，进一步促进了我院检察工作再上新台阶。</w:t>
            </w:r>
          </w:p>
        </w:tc>
      </w:tr>
      <w:tr w14:paraId="72D0F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79" w:hRule="atLeast"/>
        </w:trPr>
        <w:tc>
          <w:tcPr>
            <w:tcW w:w="848" w:type="dxa"/>
            <w:tcBorders>
              <w:top w:val="single" w:color="000000" w:sz="4" w:space="0"/>
              <w:left w:val="single" w:color="000000" w:sz="4" w:space="0"/>
              <w:bottom w:val="single" w:color="000000" w:sz="4" w:space="0"/>
              <w:right w:val="single" w:color="000000" w:sz="4" w:space="0"/>
            </w:tcBorders>
            <w:shd w:val="clear"/>
            <w:vAlign w:val="center"/>
          </w:tcPr>
          <w:p w14:paraId="4F2DF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848" w:type="dxa"/>
            <w:tcBorders>
              <w:top w:val="single" w:color="000000" w:sz="4" w:space="0"/>
              <w:left w:val="single" w:color="000000" w:sz="4" w:space="0"/>
              <w:bottom w:val="single" w:color="000000" w:sz="4" w:space="0"/>
              <w:right w:val="single" w:color="000000" w:sz="4" w:space="0"/>
            </w:tcBorders>
            <w:shd w:val="clear"/>
            <w:vAlign w:val="center"/>
          </w:tcPr>
          <w:p w14:paraId="78758B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848" w:type="dxa"/>
            <w:tcBorders>
              <w:top w:val="single" w:color="000000" w:sz="4" w:space="0"/>
              <w:left w:val="single" w:color="000000" w:sz="4" w:space="0"/>
              <w:bottom w:val="single" w:color="000000" w:sz="4" w:space="0"/>
              <w:right w:val="single" w:color="000000" w:sz="4" w:space="0"/>
            </w:tcBorders>
            <w:shd w:val="clear"/>
            <w:vAlign w:val="center"/>
          </w:tcPr>
          <w:p w14:paraId="14DAC7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849" w:type="dxa"/>
            <w:tcBorders>
              <w:top w:val="single" w:color="000000" w:sz="4" w:space="0"/>
              <w:left w:val="single" w:color="000000" w:sz="4" w:space="0"/>
              <w:bottom w:val="single" w:color="000000" w:sz="4" w:space="0"/>
              <w:right w:val="single" w:color="000000" w:sz="4" w:space="0"/>
            </w:tcBorders>
            <w:shd w:val="clear"/>
            <w:vAlign w:val="center"/>
          </w:tcPr>
          <w:p w14:paraId="496D41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664" w:type="dxa"/>
            <w:tcBorders>
              <w:top w:val="single" w:color="000000" w:sz="4" w:space="0"/>
              <w:left w:val="single" w:color="000000" w:sz="4" w:space="0"/>
              <w:bottom w:val="single" w:color="000000" w:sz="4" w:space="0"/>
              <w:right w:val="single" w:color="000000" w:sz="4" w:space="0"/>
            </w:tcBorders>
            <w:shd w:val="clear"/>
            <w:vAlign w:val="center"/>
          </w:tcPr>
          <w:p w14:paraId="1781C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指标性质</w:t>
            </w:r>
          </w:p>
        </w:tc>
        <w:tc>
          <w:tcPr>
            <w:tcW w:w="683" w:type="dxa"/>
            <w:tcBorders>
              <w:top w:val="single" w:color="000000" w:sz="4" w:space="0"/>
              <w:left w:val="single" w:color="000000" w:sz="4" w:space="0"/>
              <w:bottom w:val="single" w:color="000000" w:sz="4" w:space="0"/>
              <w:right w:val="single" w:color="000000" w:sz="4" w:space="0"/>
            </w:tcBorders>
            <w:shd w:val="clear"/>
            <w:vAlign w:val="center"/>
          </w:tcPr>
          <w:p w14:paraId="6852CC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指标方向</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14:paraId="649190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733" w:type="dxa"/>
            <w:tcBorders>
              <w:top w:val="single" w:color="000000" w:sz="4" w:space="0"/>
              <w:left w:val="single" w:color="000000" w:sz="4" w:space="0"/>
              <w:bottom w:val="single" w:color="000000" w:sz="4" w:space="0"/>
              <w:right w:val="single" w:color="000000" w:sz="4" w:space="0"/>
            </w:tcBorders>
            <w:shd w:val="clear"/>
            <w:vAlign w:val="center"/>
          </w:tcPr>
          <w:p w14:paraId="0C6DC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14:paraId="656CE0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计量单位</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6F152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484" w:type="dxa"/>
            <w:tcBorders>
              <w:top w:val="single" w:color="000000" w:sz="4" w:space="0"/>
              <w:left w:val="single" w:color="000000" w:sz="4" w:space="0"/>
              <w:bottom w:val="single" w:color="000000" w:sz="4" w:space="0"/>
              <w:right w:val="single" w:color="000000" w:sz="4" w:space="0"/>
            </w:tcBorders>
            <w:shd w:val="clear"/>
            <w:vAlign w:val="center"/>
          </w:tcPr>
          <w:p w14:paraId="41E7CA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750" w:type="dxa"/>
            <w:gridSpan w:val="2"/>
            <w:tcBorders>
              <w:top w:val="single" w:color="000000" w:sz="4" w:space="0"/>
              <w:left w:val="single" w:color="000000" w:sz="4" w:space="0"/>
              <w:bottom w:val="single" w:color="000000" w:sz="4" w:space="0"/>
              <w:right w:val="single" w:color="000000" w:sz="4" w:space="0"/>
            </w:tcBorders>
            <w:shd w:val="clear"/>
            <w:vAlign w:val="center"/>
          </w:tcPr>
          <w:p w14:paraId="4DAE98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14D63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840" w:hRule="atLeast"/>
        </w:trPr>
        <w:tc>
          <w:tcPr>
            <w:tcW w:w="848" w:type="dxa"/>
            <w:vMerge w:val="restart"/>
            <w:tcBorders>
              <w:top w:val="single" w:color="000000" w:sz="4" w:space="0"/>
              <w:left w:val="single" w:color="000000" w:sz="4" w:space="0"/>
              <w:bottom w:val="nil"/>
              <w:right w:val="single" w:color="000000" w:sz="4" w:space="0"/>
            </w:tcBorders>
            <w:shd w:val="clear"/>
            <w:vAlign w:val="center"/>
          </w:tcPr>
          <w:p w14:paraId="6A50F1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848" w:type="dxa"/>
            <w:vMerge w:val="restart"/>
            <w:tcBorders>
              <w:top w:val="single" w:color="000000" w:sz="4" w:space="0"/>
              <w:left w:val="single" w:color="000000" w:sz="4" w:space="0"/>
              <w:bottom w:val="nil"/>
              <w:right w:val="single" w:color="000000" w:sz="4" w:space="0"/>
            </w:tcBorders>
            <w:shd w:val="clear"/>
            <w:vAlign w:val="center"/>
          </w:tcPr>
          <w:p w14:paraId="58755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848" w:type="dxa"/>
            <w:vMerge w:val="restart"/>
            <w:tcBorders>
              <w:top w:val="single" w:color="000000" w:sz="4" w:space="0"/>
              <w:left w:val="single" w:color="000000" w:sz="4" w:space="0"/>
              <w:bottom w:val="nil"/>
              <w:right w:val="single" w:color="000000" w:sz="4" w:space="0"/>
            </w:tcBorders>
            <w:shd w:val="clear"/>
            <w:vAlign w:val="center"/>
          </w:tcPr>
          <w:p w14:paraId="4C9DE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849" w:type="dxa"/>
            <w:tcBorders>
              <w:top w:val="single" w:color="000000" w:sz="4" w:space="0"/>
              <w:left w:val="single" w:color="000000" w:sz="4" w:space="0"/>
              <w:bottom w:val="nil"/>
              <w:right w:val="single" w:color="000000" w:sz="4" w:space="0"/>
            </w:tcBorders>
            <w:shd w:val="clear"/>
            <w:vAlign w:val="center"/>
          </w:tcPr>
          <w:p w14:paraId="7D934A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受理案件数量</w:t>
            </w:r>
          </w:p>
        </w:tc>
        <w:tc>
          <w:tcPr>
            <w:tcW w:w="664" w:type="dxa"/>
            <w:tcBorders>
              <w:top w:val="single" w:color="000000" w:sz="4" w:space="0"/>
              <w:left w:val="single" w:color="000000" w:sz="4" w:space="0"/>
              <w:bottom w:val="nil"/>
              <w:right w:val="single" w:color="000000" w:sz="4" w:space="0"/>
            </w:tcBorders>
            <w:shd w:val="clear"/>
            <w:vAlign w:val="center"/>
          </w:tcPr>
          <w:p w14:paraId="3F0623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683" w:type="dxa"/>
            <w:tcBorders>
              <w:top w:val="single" w:color="000000" w:sz="4" w:space="0"/>
              <w:left w:val="single" w:color="000000" w:sz="4" w:space="0"/>
              <w:bottom w:val="nil"/>
              <w:right w:val="single" w:color="000000" w:sz="4" w:space="0"/>
            </w:tcBorders>
            <w:shd w:val="clear"/>
            <w:vAlign w:val="center"/>
          </w:tcPr>
          <w:p w14:paraId="1873E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w:t>
            </w:r>
          </w:p>
        </w:tc>
        <w:tc>
          <w:tcPr>
            <w:tcW w:w="650" w:type="dxa"/>
            <w:tcBorders>
              <w:top w:val="single" w:color="000000" w:sz="4" w:space="0"/>
              <w:left w:val="single" w:color="000000" w:sz="4" w:space="0"/>
              <w:bottom w:val="nil"/>
              <w:right w:val="single" w:color="000000" w:sz="4" w:space="0"/>
            </w:tcBorders>
            <w:shd w:val="clear"/>
            <w:vAlign w:val="center"/>
          </w:tcPr>
          <w:p w14:paraId="147438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120</w:t>
            </w:r>
          </w:p>
        </w:tc>
        <w:tc>
          <w:tcPr>
            <w:tcW w:w="733" w:type="dxa"/>
            <w:tcBorders>
              <w:top w:val="single" w:color="000000" w:sz="4" w:space="0"/>
              <w:left w:val="single" w:color="000000" w:sz="4" w:space="0"/>
              <w:bottom w:val="nil"/>
              <w:right w:val="single" w:color="000000" w:sz="4" w:space="0"/>
            </w:tcBorders>
            <w:shd w:val="clear"/>
            <w:vAlign w:val="center"/>
          </w:tcPr>
          <w:p w14:paraId="125721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900" w:type="dxa"/>
            <w:tcBorders>
              <w:top w:val="single" w:color="000000" w:sz="4" w:space="0"/>
              <w:left w:val="single" w:color="000000" w:sz="4" w:space="0"/>
              <w:bottom w:val="nil"/>
              <w:right w:val="single" w:color="000000" w:sz="4" w:space="0"/>
            </w:tcBorders>
            <w:shd w:val="clear"/>
            <w:vAlign w:val="center"/>
          </w:tcPr>
          <w:p w14:paraId="3A60E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件</w:t>
            </w:r>
          </w:p>
        </w:tc>
        <w:tc>
          <w:tcPr>
            <w:tcW w:w="700" w:type="dxa"/>
            <w:tcBorders>
              <w:top w:val="single" w:color="000000" w:sz="4" w:space="0"/>
              <w:left w:val="single" w:color="000000" w:sz="4" w:space="0"/>
              <w:bottom w:val="nil"/>
              <w:right w:val="single" w:color="000000" w:sz="4" w:space="0"/>
            </w:tcBorders>
            <w:shd w:val="clear"/>
            <w:vAlign w:val="center"/>
          </w:tcPr>
          <w:p w14:paraId="30D97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4" w:type="dxa"/>
            <w:tcBorders>
              <w:top w:val="single" w:color="000000" w:sz="4" w:space="0"/>
              <w:left w:val="single" w:color="000000" w:sz="4" w:space="0"/>
              <w:bottom w:val="nil"/>
              <w:right w:val="single" w:color="000000" w:sz="4" w:space="0"/>
            </w:tcBorders>
            <w:shd w:val="clear"/>
            <w:vAlign w:val="center"/>
          </w:tcPr>
          <w:p w14:paraId="154A5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50" w:type="dxa"/>
            <w:gridSpan w:val="2"/>
            <w:tcBorders>
              <w:top w:val="single" w:color="000000" w:sz="4" w:space="0"/>
              <w:left w:val="single" w:color="000000" w:sz="4" w:space="0"/>
              <w:bottom w:val="nil"/>
              <w:right w:val="single" w:color="000000" w:sz="4" w:space="0"/>
            </w:tcBorders>
            <w:shd w:val="clear"/>
            <w:vAlign w:val="center"/>
          </w:tcPr>
          <w:p w14:paraId="3628D470">
            <w:pPr>
              <w:jc w:val="center"/>
              <w:rPr>
                <w:rFonts w:hint="eastAsia" w:ascii="宋体" w:hAnsi="宋体" w:eastAsia="宋体" w:cs="宋体"/>
                <w:i w:val="0"/>
                <w:iCs w:val="0"/>
                <w:color w:val="000000"/>
                <w:sz w:val="18"/>
                <w:szCs w:val="18"/>
                <w:u w:val="none"/>
              </w:rPr>
            </w:pPr>
          </w:p>
        </w:tc>
      </w:tr>
      <w:tr w14:paraId="36E46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40" w:hRule="atLeast"/>
        </w:trPr>
        <w:tc>
          <w:tcPr>
            <w:tcW w:w="848" w:type="dxa"/>
            <w:vMerge w:val="continue"/>
            <w:tcBorders>
              <w:top w:val="single" w:color="000000" w:sz="4" w:space="0"/>
              <w:left w:val="single" w:color="000000" w:sz="4" w:space="0"/>
              <w:bottom w:val="nil"/>
              <w:right w:val="single" w:color="000000" w:sz="4" w:space="0"/>
            </w:tcBorders>
            <w:shd w:val="clear"/>
            <w:vAlign w:val="center"/>
          </w:tcPr>
          <w:p w14:paraId="5AF30F03">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696EC725">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603F6E9D">
            <w:pPr>
              <w:jc w:val="center"/>
              <w:rPr>
                <w:rFonts w:hint="eastAsia" w:ascii="宋体" w:hAnsi="宋体" w:eastAsia="宋体" w:cs="宋体"/>
                <w:i w:val="0"/>
                <w:iCs w:val="0"/>
                <w:color w:val="000000"/>
                <w:sz w:val="18"/>
                <w:szCs w:val="18"/>
                <w:u w:val="none"/>
              </w:rPr>
            </w:pPr>
          </w:p>
        </w:tc>
        <w:tc>
          <w:tcPr>
            <w:tcW w:w="849" w:type="dxa"/>
            <w:tcBorders>
              <w:top w:val="single" w:color="000000" w:sz="4" w:space="0"/>
              <w:left w:val="single" w:color="000000" w:sz="4" w:space="0"/>
              <w:bottom w:val="nil"/>
              <w:right w:val="single" w:color="000000" w:sz="4" w:space="0"/>
            </w:tcBorders>
            <w:shd w:val="clear"/>
            <w:vAlign w:val="center"/>
          </w:tcPr>
          <w:p w14:paraId="393901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年度案件结案数量</w:t>
            </w:r>
          </w:p>
        </w:tc>
        <w:tc>
          <w:tcPr>
            <w:tcW w:w="664" w:type="dxa"/>
            <w:tcBorders>
              <w:top w:val="single" w:color="000000" w:sz="4" w:space="0"/>
              <w:left w:val="single" w:color="000000" w:sz="4" w:space="0"/>
              <w:bottom w:val="nil"/>
              <w:right w:val="single" w:color="000000" w:sz="4" w:space="0"/>
            </w:tcBorders>
            <w:shd w:val="clear"/>
            <w:vAlign w:val="center"/>
          </w:tcPr>
          <w:p w14:paraId="11A2B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683" w:type="dxa"/>
            <w:tcBorders>
              <w:top w:val="single" w:color="000000" w:sz="4" w:space="0"/>
              <w:left w:val="single" w:color="000000" w:sz="4" w:space="0"/>
              <w:bottom w:val="nil"/>
              <w:right w:val="single" w:color="000000" w:sz="4" w:space="0"/>
            </w:tcBorders>
            <w:shd w:val="clear"/>
            <w:vAlign w:val="center"/>
          </w:tcPr>
          <w:p w14:paraId="444AB3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w:t>
            </w:r>
          </w:p>
        </w:tc>
        <w:tc>
          <w:tcPr>
            <w:tcW w:w="650" w:type="dxa"/>
            <w:tcBorders>
              <w:top w:val="single" w:color="000000" w:sz="4" w:space="0"/>
              <w:left w:val="single" w:color="000000" w:sz="4" w:space="0"/>
              <w:bottom w:val="nil"/>
              <w:right w:val="single" w:color="000000" w:sz="4" w:space="0"/>
            </w:tcBorders>
            <w:shd w:val="clear"/>
            <w:vAlign w:val="center"/>
          </w:tcPr>
          <w:p w14:paraId="0E4696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110</w:t>
            </w:r>
          </w:p>
        </w:tc>
        <w:tc>
          <w:tcPr>
            <w:tcW w:w="733" w:type="dxa"/>
            <w:tcBorders>
              <w:top w:val="single" w:color="000000" w:sz="4" w:space="0"/>
              <w:left w:val="single" w:color="000000" w:sz="4" w:space="0"/>
              <w:bottom w:val="nil"/>
              <w:right w:val="single" w:color="000000" w:sz="4" w:space="0"/>
            </w:tcBorders>
            <w:shd w:val="clear"/>
            <w:vAlign w:val="center"/>
          </w:tcPr>
          <w:p w14:paraId="77ADF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900" w:type="dxa"/>
            <w:tcBorders>
              <w:top w:val="single" w:color="000000" w:sz="4" w:space="0"/>
              <w:left w:val="single" w:color="000000" w:sz="4" w:space="0"/>
              <w:bottom w:val="nil"/>
              <w:right w:val="single" w:color="000000" w:sz="4" w:space="0"/>
            </w:tcBorders>
            <w:shd w:val="clear"/>
            <w:vAlign w:val="center"/>
          </w:tcPr>
          <w:p w14:paraId="5DBD3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件</w:t>
            </w:r>
          </w:p>
        </w:tc>
        <w:tc>
          <w:tcPr>
            <w:tcW w:w="700" w:type="dxa"/>
            <w:tcBorders>
              <w:top w:val="single" w:color="000000" w:sz="4" w:space="0"/>
              <w:left w:val="single" w:color="000000" w:sz="4" w:space="0"/>
              <w:bottom w:val="nil"/>
              <w:right w:val="single" w:color="000000" w:sz="4" w:space="0"/>
            </w:tcBorders>
            <w:shd w:val="clear"/>
            <w:vAlign w:val="center"/>
          </w:tcPr>
          <w:p w14:paraId="050B9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484" w:type="dxa"/>
            <w:tcBorders>
              <w:top w:val="single" w:color="000000" w:sz="4" w:space="0"/>
              <w:left w:val="single" w:color="000000" w:sz="4" w:space="0"/>
              <w:bottom w:val="nil"/>
              <w:right w:val="single" w:color="000000" w:sz="4" w:space="0"/>
            </w:tcBorders>
            <w:shd w:val="clear"/>
            <w:vAlign w:val="center"/>
          </w:tcPr>
          <w:p w14:paraId="5C9D2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750" w:type="dxa"/>
            <w:gridSpan w:val="2"/>
            <w:tcBorders>
              <w:top w:val="single" w:color="000000" w:sz="4" w:space="0"/>
              <w:left w:val="single" w:color="000000" w:sz="4" w:space="0"/>
              <w:bottom w:val="nil"/>
              <w:right w:val="single" w:color="000000" w:sz="4" w:space="0"/>
            </w:tcBorders>
            <w:shd w:val="clear"/>
            <w:vAlign w:val="center"/>
          </w:tcPr>
          <w:p w14:paraId="2F79A203">
            <w:pPr>
              <w:jc w:val="center"/>
              <w:rPr>
                <w:rFonts w:hint="eastAsia" w:ascii="宋体" w:hAnsi="宋体" w:eastAsia="宋体" w:cs="宋体"/>
                <w:i w:val="0"/>
                <w:iCs w:val="0"/>
                <w:color w:val="000000"/>
                <w:sz w:val="18"/>
                <w:szCs w:val="18"/>
                <w:u w:val="none"/>
              </w:rPr>
            </w:pPr>
          </w:p>
        </w:tc>
      </w:tr>
      <w:tr w14:paraId="67E19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40" w:hRule="atLeast"/>
        </w:trPr>
        <w:tc>
          <w:tcPr>
            <w:tcW w:w="848" w:type="dxa"/>
            <w:vMerge w:val="continue"/>
            <w:tcBorders>
              <w:top w:val="single" w:color="000000" w:sz="4" w:space="0"/>
              <w:left w:val="single" w:color="000000" w:sz="4" w:space="0"/>
              <w:bottom w:val="nil"/>
              <w:right w:val="single" w:color="000000" w:sz="4" w:space="0"/>
            </w:tcBorders>
            <w:shd w:val="clear"/>
            <w:vAlign w:val="center"/>
          </w:tcPr>
          <w:p w14:paraId="364F74A8">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03B85301">
            <w:pPr>
              <w:jc w:val="center"/>
              <w:rPr>
                <w:rFonts w:hint="eastAsia" w:ascii="宋体" w:hAnsi="宋体" w:eastAsia="宋体" w:cs="宋体"/>
                <w:i w:val="0"/>
                <w:iCs w:val="0"/>
                <w:color w:val="000000"/>
                <w:sz w:val="18"/>
                <w:szCs w:val="18"/>
                <w:u w:val="none"/>
              </w:rPr>
            </w:pPr>
          </w:p>
        </w:tc>
        <w:tc>
          <w:tcPr>
            <w:tcW w:w="848" w:type="dxa"/>
            <w:vMerge w:val="restart"/>
            <w:tcBorders>
              <w:top w:val="single" w:color="000000" w:sz="4" w:space="0"/>
              <w:left w:val="single" w:color="000000" w:sz="4" w:space="0"/>
              <w:bottom w:val="nil"/>
              <w:right w:val="single" w:color="000000" w:sz="4" w:space="0"/>
            </w:tcBorders>
            <w:shd w:val="clear"/>
            <w:vAlign w:val="center"/>
          </w:tcPr>
          <w:p w14:paraId="56C2BF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849" w:type="dxa"/>
            <w:tcBorders>
              <w:top w:val="single" w:color="000000" w:sz="4" w:space="0"/>
              <w:left w:val="single" w:color="000000" w:sz="4" w:space="0"/>
              <w:bottom w:val="nil"/>
              <w:right w:val="single" w:color="000000" w:sz="4" w:space="0"/>
            </w:tcBorders>
            <w:shd w:val="clear"/>
            <w:vAlign w:val="center"/>
          </w:tcPr>
          <w:p w14:paraId="1706D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宣传资料达标率</w:t>
            </w:r>
          </w:p>
        </w:tc>
        <w:tc>
          <w:tcPr>
            <w:tcW w:w="664" w:type="dxa"/>
            <w:tcBorders>
              <w:top w:val="single" w:color="000000" w:sz="4" w:space="0"/>
              <w:left w:val="single" w:color="000000" w:sz="4" w:space="0"/>
              <w:bottom w:val="nil"/>
              <w:right w:val="single" w:color="000000" w:sz="4" w:space="0"/>
            </w:tcBorders>
            <w:shd w:val="clear"/>
            <w:vAlign w:val="center"/>
          </w:tcPr>
          <w:p w14:paraId="543CC8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683" w:type="dxa"/>
            <w:tcBorders>
              <w:top w:val="single" w:color="000000" w:sz="4" w:space="0"/>
              <w:left w:val="single" w:color="000000" w:sz="4" w:space="0"/>
              <w:bottom w:val="nil"/>
              <w:right w:val="single" w:color="000000" w:sz="4" w:space="0"/>
            </w:tcBorders>
            <w:shd w:val="clear"/>
            <w:vAlign w:val="center"/>
          </w:tcPr>
          <w:p w14:paraId="560505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w:t>
            </w:r>
          </w:p>
        </w:tc>
        <w:tc>
          <w:tcPr>
            <w:tcW w:w="650" w:type="dxa"/>
            <w:tcBorders>
              <w:top w:val="single" w:color="000000" w:sz="4" w:space="0"/>
              <w:left w:val="single" w:color="000000" w:sz="4" w:space="0"/>
              <w:bottom w:val="nil"/>
              <w:right w:val="single" w:color="000000" w:sz="4" w:space="0"/>
            </w:tcBorders>
            <w:shd w:val="clear"/>
            <w:vAlign w:val="center"/>
          </w:tcPr>
          <w:p w14:paraId="16FD69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733" w:type="dxa"/>
            <w:tcBorders>
              <w:top w:val="single" w:color="000000" w:sz="4" w:space="0"/>
              <w:left w:val="single" w:color="000000" w:sz="4" w:space="0"/>
              <w:bottom w:val="nil"/>
              <w:right w:val="single" w:color="000000" w:sz="4" w:space="0"/>
            </w:tcBorders>
            <w:shd w:val="clear"/>
            <w:vAlign w:val="center"/>
          </w:tcPr>
          <w:p w14:paraId="31B8A5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900" w:type="dxa"/>
            <w:tcBorders>
              <w:top w:val="single" w:color="000000" w:sz="4" w:space="0"/>
              <w:left w:val="single" w:color="000000" w:sz="4" w:space="0"/>
              <w:bottom w:val="nil"/>
              <w:right w:val="single" w:color="000000" w:sz="4" w:space="0"/>
            </w:tcBorders>
            <w:shd w:val="clear"/>
            <w:vAlign w:val="center"/>
          </w:tcPr>
          <w:p w14:paraId="703DA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0" w:type="dxa"/>
            <w:tcBorders>
              <w:top w:val="single" w:color="000000" w:sz="4" w:space="0"/>
              <w:left w:val="single" w:color="000000" w:sz="4" w:space="0"/>
              <w:bottom w:val="nil"/>
              <w:right w:val="single" w:color="000000" w:sz="4" w:space="0"/>
            </w:tcBorders>
            <w:shd w:val="clear"/>
            <w:vAlign w:val="center"/>
          </w:tcPr>
          <w:p w14:paraId="5F6BB8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484" w:type="dxa"/>
            <w:tcBorders>
              <w:top w:val="single" w:color="000000" w:sz="4" w:space="0"/>
              <w:left w:val="single" w:color="000000" w:sz="4" w:space="0"/>
              <w:bottom w:val="nil"/>
              <w:right w:val="single" w:color="000000" w:sz="4" w:space="0"/>
            </w:tcBorders>
            <w:shd w:val="clear"/>
            <w:vAlign w:val="center"/>
          </w:tcPr>
          <w:p w14:paraId="58033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750" w:type="dxa"/>
            <w:gridSpan w:val="2"/>
            <w:tcBorders>
              <w:top w:val="single" w:color="000000" w:sz="4" w:space="0"/>
              <w:left w:val="single" w:color="000000" w:sz="4" w:space="0"/>
              <w:bottom w:val="nil"/>
              <w:right w:val="single" w:color="000000" w:sz="4" w:space="0"/>
            </w:tcBorders>
            <w:shd w:val="clear"/>
            <w:vAlign w:val="center"/>
          </w:tcPr>
          <w:p w14:paraId="7CE3745E">
            <w:pPr>
              <w:jc w:val="center"/>
              <w:rPr>
                <w:rFonts w:hint="eastAsia" w:ascii="宋体" w:hAnsi="宋体" w:eastAsia="宋体" w:cs="宋体"/>
                <w:i w:val="0"/>
                <w:iCs w:val="0"/>
                <w:color w:val="000000"/>
                <w:sz w:val="18"/>
                <w:szCs w:val="18"/>
                <w:u w:val="none"/>
              </w:rPr>
            </w:pPr>
          </w:p>
        </w:tc>
      </w:tr>
      <w:tr w14:paraId="2A270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840" w:hRule="atLeast"/>
        </w:trPr>
        <w:tc>
          <w:tcPr>
            <w:tcW w:w="848" w:type="dxa"/>
            <w:vMerge w:val="continue"/>
            <w:tcBorders>
              <w:top w:val="single" w:color="000000" w:sz="4" w:space="0"/>
              <w:left w:val="single" w:color="000000" w:sz="4" w:space="0"/>
              <w:bottom w:val="nil"/>
              <w:right w:val="single" w:color="000000" w:sz="4" w:space="0"/>
            </w:tcBorders>
            <w:shd w:val="clear"/>
            <w:vAlign w:val="center"/>
          </w:tcPr>
          <w:p w14:paraId="7B96EC35">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035DB3A2">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6F2F90EC">
            <w:pPr>
              <w:jc w:val="center"/>
              <w:rPr>
                <w:rFonts w:hint="eastAsia" w:ascii="宋体" w:hAnsi="宋体" w:eastAsia="宋体" w:cs="宋体"/>
                <w:i w:val="0"/>
                <w:iCs w:val="0"/>
                <w:color w:val="000000"/>
                <w:sz w:val="18"/>
                <w:szCs w:val="18"/>
                <w:u w:val="none"/>
              </w:rPr>
            </w:pPr>
          </w:p>
        </w:tc>
        <w:tc>
          <w:tcPr>
            <w:tcW w:w="849" w:type="dxa"/>
            <w:tcBorders>
              <w:top w:val="single" w:color="000000" w:sz="4" w:space="0"/>
              <w:left w:val="single" w:color="000000" w:sz="4" w:space="0"/>
              <w:bottom w:val="nil"/>
              <w:right w:val="single" w:color="000000" w:sz="4" w:space="0"/>
            </w:tcBorders>
            <w:shd w:val="clear"/>
            <w:vAlign w:val="center"/>
          </w:tcPr>
          <w:p w14:paraId="390E91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培训合格率</w:t>
            </w:r>
          </w:p>
        </w:tc>
        <w:tc>
          <w:tcPr>
            <w:tcW w:w="664" w:type="dxa"/>
            <w:tcBorders>
              <w:top w:val="single" w:color="000000" w:sz="4" w:space="0"/>
              <w:left w:val="single" w:color="000000" w:sz="4" w:space="0"/>
              <w:bottom w:val="nil"/>
              <w:right w:val="single" w:color="000000" w:sz="4" w:space="0"/>
            </w:tcBorders>
            <w:shd w:val="clear"/>
            <w:vAlign w:val="center"/>
          </w:tcPr>
          <w:p w14:paraId="777247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683" w:type="dxa"/>
            <w:tcBorders>
              <w:top w:val="single" w:color="000000" w:sz="4" w:space="0"/>
              <w:left w:val="single" w:color="000000" w:sz="4" w:space="0"/>
              <w:bottom w:val="nil"/>
              <w:right w:val="single" w:color="000000" w:sz="4" w:space="0"/>
            </w:tcBorders>
            <w:shd w:val="clear"/>
            <w:vAlign w:val="center"/>
          </w:tcPr>
          <w:p w14:paraId="78C823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w:t>
            </w:r>
          </w:p>
        </w:tc>
        <w:tc>
          <w:tcPr>
            <w:tcW w:w="650" w:type="dxa"/>
            <w:tcBorders>
              <w:top w:val="single" w:color="000000" w:sz="4" w:space="0"/>
              <w:left w:val="single" w:color="000000" w:sz="4" w:space="0"/>
              <w:bottom w:val="nil"/>
              <w:right w:val="single" w:color="000000" w:sz="4" w:space="0"/>
            </w:tcBorders>
            <w:shd w:val="clear"/>
            <w:vAlign w:val="center"/>
          </w:tcPr>
          <w:p w14:paraId="34D558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96</w:t>
            </w:r>
          </w:p>
        </w:tc>
        <w:tc>
          <w:tcPr>
            <w:tcW w:w="733" w:type="dxa"/>
            <w:tcBorders>
              <w:top w:val="single" w:color="000000" w:sz="4" w:space="0"/>
              <w:left w:val="single" w:color="000000" w:sz="4" w:space="0"/>
              <w:bottom w:val="nil"/>
              <w:right w:val="single" w:color="000000" w:sz="4" w:space="0"/>
            </w:tcBorders>
            <w:shd w:val="clear"/>
            <w:vAlign w:val="center"/>
          </w:tcPr>
          <w:p w14:paraId="5CC43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900" w:type="dxa"/>
            <w:tcBorders>
              <w:top w:val="single" w:color="000000" w:sz="4" w:space="0"/>
              <w:left w:val="single" w:color="000000" w:sz="4" w:space="0"/>
              <w:bottom w:val="nil"/>
              <w:right w:val="single" w:color="000000" w:sz="4" w:space="0"/>
            </w:tcBorders>
            <w:shd w:val="clear"/>
            <w:vAlign w:val="center"/>
          </w:tcPr>
          <w:p w14:paraId="09D8B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0" w:type="dxa"/>
            <w:tcBorders>
              <w:top w:val="single" w:color="000000" w:sz="4" w:space="0"/>
              <w:left w:val="single" w:color="000000" w:sz="4" w:space="0"/>
              <w:bottom w:val="nil"/>
              <w:right w:val="single" w:color="000000" w:sz="4" w:space="0"/>
            </w:tcBorders>
            <w:shd w:val="clear"/>
            <w:vAlign w:val="center"/>
          </w:tcPr>
          <w:p w14:paraId="5B579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4" w:type="dxa"/>
            <w:tcBorders>
              <w:top w:val="single" w:color="000000" w:sz="4" w:space="0"/>
              <w:left w:val="single" w:color="000000" w:sz="4" w:space="0"/>
              <w:bottom w:val="nil"/>
              <w:right w:val="single" w:color="000000" w:sz="4" w:space="0"/>
            </w:tcBorders>
            <w:shd w:val="clear"/>
            <w:vAlign w:val="center"/>
          </w:tcPr>
          <w:p w14:paraId="1E8D8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50" w:type="dxa"/>
            <w:gridSpan w:val="2"/>
            <w:tcBorders>
              <w:top w:val="single" w:color="000000" w:sz="4" w:space="0"/>
              <w:left w:val="single" w:color="000000" w:sz="4" w:space="0"/>
              <w:bottom w:val="nil"/>
              <w:right w:val="single" w:color="000000" w:sz="4" w:space="0"/>
            </w:tcBorders>
            <w:shd w:val="clear"/>
            <w:vAlign w:val="center"/>
          </w:tcPr>
          <w:p w14:paraId="0B92601C">
            <w:pPr>
              <w:jc w:val="center"/>
              <w:rPr>
                <w:rFonts w:hint="eastAsia" w:ascii="宋体" w:hAnsi="宋体" w:eastAsia="宋体" w:cs="宋体"/>
                <w:i w:val="0"/>
                <w:iCs w:val="0"/>
                <w:color w:val="000000"/>
                <w:sz w:val="18"/>
                <w:szCs w:val="18"/>
                <w:u w:val="none"/>
              </w:rPr>
            </w:pPr>
          </w:p>
        </w:tc>
      </w:tr>
      <w:tr w14:paraId="08B23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40" w:hRule="atLeast"/>
        </w:trPr>
        <w:tc>
          <w:tcPr>
            <w:tcW w:w="848" w:type="dxa"/>
            <w:vMerge w:val="continue"/>
            <w:tcBorders>
              <w:top w:val="single" w:color="000000" w:sz="4" w:space="0"/>
              <w:left w:val="single" w:color="000000" w:sz="4" w:space="0"/>
              <w:bottom w:val="nil"/>
              <w:right w:val="single" w:color="000000" w:sz="4" w:space="0"/>
            </w:tcBorders>
            <w:shd w:val="clear"/>
            <w:vAlign w:val="center"/>
          </w:tcPr>
          <w:p w14:paraId="76F4B69B">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6041C1F5">
            <w:pPr>
              <w:jc w:val="center"/>
              <w:rPr>
                <w:rFonts w:hint="eastAsia" w:ascii="宋体" w:hAnsi="宋体" w:eastAsia="宋体" w:cs="宋体"/>
                <w:i w:val="0"/>
                <w:iCs w:val="0"/>
                <w:color w:val="000000"/>
                <w:sz w:val="18"/>
                <w:szCs w:val="18"/>
                <w:u w:val="none"/>
              </w:rPr>
            </w:pPr>
          </w:p>
        </w:tc>
        <w:tc>
          <w:tcPr>
            <w:tcW w:w="848" w:type="dxa"/>
            <w:vMerge w:val="restart"/>
            <w:tcBorders>
              <w:top w:val="single" w:color="000000" w:sz="4" w:space="0"/>
              <w:left w:val="single" w:color="000000" w:sz="4" w:space="0"/>
              <w:bottom w:val="nil"/>
              <w:right w:val="single" w:color="000000" w:sz="4" w:space="0"/>
            </w:tcBorders>
            <w:shd w:val="clear"/>
            <w:vAlign w:val="center"/>
          </w:tcPr>
          <w:p w14:paraId="11BC9D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849" w:type="dxa"/>
            <w:tcBorders>
              <w:top w:val="single" w:color="000000" w:sz="4" w:space="0"/>
              <w:left w:val="single" w:color="000000" w:sz="4" w:space="0"/>
              <w:bottom w:val="nil"/>
              <w:right w:val="single" w:color="000000" w:sz="4" w:space="0"/>
            </w:tcBorders>
            <w:shd w:val="clear"/>
            <w:vAlign w:val="center"/>
          </w:tcPr>
          <w:p w14:paraId="283BD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年底前完成培训</w:t>
            </w:r>
          </w:p>
        </w:tc>
        <w:tc>
          <w:tcPr>
            <w:tcW w:w="664" w:type="dxa"/>
            <w:tcBorders>
              <w:top w:val="single" w:color="000000" w:sz="4" w:space="0"/>
              <w:left w:val="single" w:color="000000" w:sz="4" w:space="0"/>
              <w:bottom w:val="nil"/>
              <w:right w:val="single" w:color="000000" w:sz="4" w:space="0"/>
            </w:tcBorders>
            <w:shd w:val="clear"/>
            <w:vAlign w:val="center"/>
          </w:tcPr>
          <w:p w14:paraId="4D667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683" w:type="dxa"/>
            <w:tcBorders>
              <w:top w:val="single" w:color="000000" w:sz="4" w:space="0"/>
              <w:left w:val="single" w:color="000000" w:sz="4" w:space="0"/>
              <w:bottom w:val="nil"/>
              <w:right w:val="single" w:color="000000" w:sz="4" w:space="0"/>
            </w:tcBorders>
            <w:shd w:val="clear"/>
            <w:vAlign w:val="center"/>
          </w:tcPr>
          <w:p w14:paraId="43E14F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650" w:type="dxa"/>
            <w:tcBorders>
              <w:top w:val="single" w:color="000000" w:sz="4" w:space="0"/>
              <w:left w:val="single" w:color="000000" w:sz="4" w:space="0"/>
              <w:bottom w:val="nil"/>
              <w:right w:val="single" w:color="000000" w:sz="4" w:space="0"/>
            </w:tcBorders>
            <w:shd w:val="clear"/>
            <w:vAlign w:val="center"/>
          </w:tcPr>
          <w:p w14:paraId="1230C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33" w:type="dxa"/>
            <w:tcBorders>
              <w:top w:val="single" w:color="000000" w:sz="4" w:space="0"/>
              <w:left w:val="single" w:color="000000" w:sz="4" w:space="0"/>
              <w:bottom w:val="nil"/>
              <w:right w:val="single" w:color="000000" w:sz="4" w:space="0"/>
            </w:tcBorders>
            <w:shd w:val="clear"/>
            <w:vAlign w:val="center"/>
          </w:tcPr>
          <w:p w14:paraId="228A2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900" w:type="dxa"/>
            <w:tcBorders>
              <w:top w:val="single" w:color="000000" w:sz="4" w:space="0"/>
              <w:left w:val="single" w:color="000000" w:sz="4" w:space="0"/>
              <w:bottom w:val="nil"/>
              <w:right w:val="single" w:color="000000" w:sz="4" w:space="0"/>
            </w:tcBorders>
            <w:shd w:val="clear"/>
            <w:vAlign w:val="center"/>
          </w:tcPr>
          <w:p w14:paraId="704F1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0" w:type="dxa"/>
            <w:tcBorders>
              <w:top w:val="single" w:color="000000" w:sz="4" w:space="0"/>
              <w:left w:val="single" w:color="000000" w:sz="4" w:space="0"/>
              <w:bottom w:val="nil"/>
              <w:right w:val="single" w:color="000000" w:sz="4" w:space="0"/>
            </w:tcBorders>
            <w:shd w:val="clear"/>
            <w:vAlign w:val="center"/>
          </w:tcPr>
          <w:p w14:paraId="7E0DB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484" w:type="dxa"/>
            <w:tcBorders>
              <w:top w:val="single" w:color="000000" w:sz="4" w:space="0"/>
              <w:left w:val="single" w:color="000000" w:sz="4" w:space="0"/>
              <w:bottom w:val="nil"/>
              <w:right w:val="single" w:color="000000" w:sz="4" w:space="0"/>
            </w:tcBorders>
            <w:shd w:val="clear"/>
            <w:vAlign w:val="center"/>
          </w:tcPr>
          <w:p w14:paraId="08E7D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750" w:type="dxa"/>
            <w:gridSpan w:val="2"/>
            <w:tcBorders>
              <w:top w:val="single" w:color="000000" w:sz="4" w:space="0"/>
              <w:left w:val="single" w:color="000000" w:sz="4" w:space="0"/>
              <w:bottom w:val="nil"/>
              <w:right w:val="single" w:color="000000" w:sz="4" w:space="0"/>
            </w:tcBorders>
            <w:shd w:val="clear"/>
            <w:vAlign w:val="center"/>
          </w:tcPr>
          <w:p w14:paraId="3FBA19F1">
            <w:pPr>
              <w:jc w:val="center"/>
              <w:rPr>
                <w:rFonts w:hint="eastAsia" w:ascii="宋体" w:hAnsi="宋体" w:eastAsia="宋体" w:cs="宋体"/>
                <w:i w:val="0"/>
                <w:iCs w:val="0"/>
                <w:color w:val="000000"/>
                <w:sz w:val="18"/>
                <w:szCs w:val="18"/>
                <w:u w:val="none"/>
              </w:rPr>
            </w:pPr>
          </w:p>
        </w:tc>
      </w:tr>
      <w:tr w14:paraId="02A42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40" w:hRule="atLeast"/>
        </w:trPr>
        <w:tc>
          <w:tcPr>
            <w:tcW w:w="848" w:type="dxa"/>
            <w:vMerge w:val="continue"/>
            <w:tcBorders>
              <w:top w:val="single" w:color="000000" w:sz="4" w:space="0"/>
              <w:left w:val="single" w:color="000000" w:sz="4" w:space="0"/>
              <w:bottom w:val="nil"/>
              <w:right w:val="single" w:color="000000" w:sz="4" w:space="0"/>
            </w:tcBorders>
            <w:shd w:val="clear"/>
            <w:vAlign w:val="center"/>
          </w:tcPr>
          <w:p w14:paraId="44512AA0">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7701E132">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1D5705FB">
            <w:pPr>
              <w:jc w:val="center"/>
              <w:rPr>
                <w:rFonts w:hint="eastAsia" w:ascii="宋体" w:hAnsi="宋体" w:eastAsia="宋体" w:cs="宋体"/>
                <w:i w:val="0"/>
                <w:iCs w:val="0"/>
                <w:color w:val="000000"/>
                <w:sz w:val="18"/>
                <w:szCs w:val="18"/>
                <w:u w:val="none"/>
              </w:rPr>
            </w:pPr>
          </w:p>
        </w:tc>
        <w:tc>
          <w:tcPr>
            <w:tcW w:w="849" w:type="dxa"/>
            <w:tcBorders>
              <w:top w:val="single" w:color="000000" w:sz="4" w:space="0"/>
              <w:left w:val="single" w:color="000000" w:sz="4" w:space="0"/>
              <w:bottom w:val="nil"/>
              <w:right w:val="single" w:color="000000" w:sz="4" w:space="0"/>
            </w:tcBorders>
            <w:shd w:val="clear"/>
            <w:vAlign w:val="center"/>
          </w:tcPr>
          <w:p w14:paraId="2953AE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平均案件审结天数</w:t>
            </w:r>
          </w:p>
        </w:tc>
        <w:tc>
          <w:tcPr>
            <w:tcW w:w="664" w:type="dxa"/>
            <w:tcBorders>
              <w:top w:val="single" w:color="000000" w:sz="4" w:space="0"/>
              <w:left w:val="single" w:color="000000" w:sz="4" w:space="0"/>
              <w:bottom w:val="nil"/>
              <w:right w:val="single" w:color="000000" w:sz="4" w:space="0"/>
            </w:tcBorders>
            <w:shd w:val="clear"/>
            <w:vAlign w:val="center"/>
          </w:tcPr>
          <w:p w14:paraId="7C4E0E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683" w:type="dxa"/>
            <w:tcBorders>
              <w:top w:val="single" w:color="000000" w:sz="4" w:space="0"/>
              <w:left w:val="single" w:color="000000" w:sz="4" w:space="0"/>
              <w:bottom w:val="nil"/>
              <w:right w:val="single" w:color="000000" w:sz="4" w:space="0"/>
            </w:tcBorders>
            <w:shd w:val="clear"/>
            <w:vAlign w:val="center"/>
          </w:tcPr>
          <w:p w14:paraId="318E9B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650" w:type="dxa"/>
            <w:tcBorders>
              <w:top w:val="single" w:color="000000" w:sz="4" w:space="0"/>
              <w:left w:val="single" w:color="000000" w:sz="4" w:space="0"/>
              <w:bottom w:val="nil"/>
              <w:right w:val="single" w:color="000000" w:sz="4" w:space="0"/>
            </w:tcBorders>
            <w:shd w:val="clear"/>
            <w:vAlign w:val="center"/>
          </w:tcPr>
          <w:p w14:paraId="337432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w:t>
            </w:r>
          </w:p>
        </w:tc>
        <w:tc>
          <w:tcPr>
            <w:tcW w:w="733" w:type="dxa"/>
            <w:tcBorders>
              <w:top w:val="single" w:color="000000" w:sz="4" w:space="0"/>
              <w:left w:val="single" w:color="000000" w:sz="4" w:space="0"/>
              <w:bottom w:val="nil"/>
              <w:right w:val="single" w:color="000000" w:sz="4" w:space="0"/>
            </w:tcBorders>
            <w:shd w:val="clear"/>
            <w:vAlign w:val="center"/>
          </w:tcPr>
          <w:p w14:paraId="30D1C6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900" w:type="dxa"/>
            <w:tcBorders>
              <w:top w:val="single" w:color="000000" w:sz="4" w:space="0"/>
              <w:left w:val="single" w:color="000000" w:sz="4" w:space="0"/>
              <w:bottom w:val="nil"/>
              <w:right w:val="single" w:color="000000" w:sz="4" w:space="0"/>
            </w:tcBorders>
            <w:shd w:val="clear"/>
            <w:vAlign w:val="center"/>
          </w:tcPr>
          <w:p w14:paraId="70B83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天</w:t>
            </w:r>
          </w:p>
        </w:tc>
        <w:tc>
          <w:tcPr>
            <w:tcW w:w="700" w:type="dxa"/>
            <w:tcBorders>
              <w:top w:val="single" w:color="000000" w:sz="4" w:space="0"/>
              <w:left w:val="single" w:color="000000" w:sz="4" w:space="0"/>
              <w:bottom w:val="nil"/>
              <w:right w:val="single" w:color="000000" w:sz="4" w:space="0"/>
            </w:tcBorders>
            <w:shd w:val="clear"/>
            <w:vAlign w:val="center"/>
          </w:tcPr>
          <w:p w14:paraId="30FEF4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484" w:type="dxa"/>
            <w:tcBorders>
              <w:top w:val="single" w:color="000000" w:sz="4" w:space="0"/>
              <w:left w:val="single" w:color="000000" w:sz="4" w:space="0"/>
              <w:bottom w:val="nil"/>
              <w:right w:val="single" w:color="000000" w:sz="4" w:space="0"/>
            </w:tcBorders>
            <w:shd w:val="clear"/>
            <w:vAlign w:val="center"/>
          </w:tcPr>
          <w:p w14:paraId="6B66F7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750" w:type="dxa"/>
            <w:gridSpan w:val="2"/>
            <w:tcBorders>
              <w:top w:val="single" w:color="000000" w:sz="4" w:space="0"/>
              <w:left w:val="single" w:color="000000" w:sz="4" w:space="0"/>
              <w:bottom w:val="nil"/>
              <w:right w:val="single" w:color="000000" w:sz="4" w:space="0"/>
            </w:tcBorders>
            <w:shd w:val="clear"/>
            <w:vAlign w:val="center"/>
          </w:tcPr>
          <w:p w14:paraId="1F9D48A5">
            <w:pPr>
              <w:jc w:val="center"/>
              <w:rPr>
                <w:rFonts w:hint="eastAsia" w:ascii="宋体" w:hAnsi="宋体" w:eastAsia="宋体" w:cs="宋体"/>
                <w:i w:val="0"/>
                <w:iCs w:val="0"/>
                <w:color w:val="000000"/>
                <w:sz w:val="18"/>
                <w:szCs w:val="18"/>
                <w:u w:val="none"/>
              </w:rPr>
            </w:pPr>
          </w:p>
        </w:tc>
      </w:tr>
      <w:tr w14:paraId="171E2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40" w:hRule="atLeast"/>
        </w:trPr>
        <w:tc>
          <w:tcPr>
            <w:tcW w:w="848" w:type="dxa"/>
            <w:vMerge w:val="continue"/>
            <w:tcBorders>
              <w:top w:val="single" w:color="000000" w:sz="4" w:space="0"/>
              <w:left w:val="single" w:color="000000" w:sz="4" w:space="0"/>
              <w:bottom w:val="nil"/>
              <w:right w:val="single" w:color="000000" w:sz="4" w:space="0"/>
            </w:tcBorders>
            <w:shd w:val="clear"/>
            <w:vAlign w:val="center"/>
          </w:tcPr>
          <w:p w14:paraId="63A5B6A7">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06F1A3E1">
            <w:pPr>
              <w:jc w:val="center"/>
              <w:rPr>
                <w:rFonts w:hint="eastAsia" w:ascii="宋体" w:hAnsi="宋体" w:eastAsia="宋体" w:cs="宋体"/>
                <w:i w:val="0"/>
                <w:iCs w:val="0"/>
                <w:color w:val="000000"/>
                <w:sz w:val="18"/>
                <w:szCs w:val="18"/>
                <w:u w:val="none"/>
              </w:rPr>
            </w:pPr>
          </w:p>
        </w:tc>
        <w:tc>
          <w:tcPr>
            <w:tcW w:w="848" w:type="dxa"/>
            <w:vMerge w:val="restart"/>
            <w:tcBorders>
              <w:top w:val="single" w:color="000000" w:sz="4" w:space="0"/>
              <w:left w:val="single" w:color="000000" w:sz="4" w:space="0"/>
              <w:bottom w:val="nil"/>
              <w:right w:val="single" w:color="000000" w:sz="4" w:space="0"/>
            </w:tcBorders>
            <w:shd w:val="clear"/>
            <w:vAlign w:val="center"/>
          </w:tcPr>
          <w:p w14:paraId="0D282C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849" w:type="dxa"/>
            <w:tcBorders>
              <w:top w:val="single" w:color="000000" w:sz="4" w:space="0"/>
              <w:left w:val="single" w:color="000000" w:sz="4" w:space="0"/>
              <w:bottom w:val="nil"/>
              <w:right w:val="single" w:color="000000" w:sz="4" w:space="0"/>
            </w:tcBorders>
            <w:shd w:val="clear"/>
            <w:vAlign w:val="center"/>
          </w:tcPr>
          <w:p w14:paraId="73C3C5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每件案件控制金额</w:t>
            </w:r>
          </w:p>
        </w:tc>
        <w:tc>
          <w:tcPr>
            <w:tcW w:w="664" w:type="dxa"/>
            <w:tcBorders>
              <w:top w:val="single" w:color="000000" w:sz="4" w:space="0"/>
              <w:left w:val="single" w:color="000000" w:sz="4" w:space="0"/>
              <w:bottom w:val="nil"/>
              <w:right w:val="single" w:color="000000" w:sz="4" w:space="0"/>
            </w:tcBorders>
            <w:shd w:val="clear"/>
            <w:vAlign w:val="center"/>
          </w:tcPr>
          <w:p w14:paraId="0D4D1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683" w:type="dxa"/>
            <w:tcBorders>
              <w:top w:val="single" w:color="000000" w:sz="4" w:space="0"/>
              <w:left w:val="single" w:color="000000" w:sz="4" w:space="0"/>
              <w:bottom w:val="nil"/>
              <w:right w:val="single" w:color="000000" w:sz="4" w:space="0"/>
            </w:tcBorders>
            <w:shd w:val="clear"/>
            <w:vAlign w:val="center"/>
          </w:tcPr>
          <w:p w14:paraId="7655B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650" w:type="dxa"/>
            <w:tcBorders>
              <w:top w:val="single" w:color="000000" w:sz="4" w:space="0"/>
              <w:left w:val="single" w:color="000000" w:sz="4" w:space="0"/>
              <w:bottom w:val="nil"/>
              <w:right w:val="single" w:color="000000" w:sz="4" w:space="0"/>
            </w:tcBorders>
            <w:shd w:val="clear"/>
            <w:vAlign w:val="center"/>
          </w:tcPr>
          <w:p w14:paraId="1498DB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733" w:type="dxa"/>
            <w:tcBorders>
              <w:top w:val="single" w:color="000000" w:sz="4" w:space="0"/>
              <w:left w:val="single" w:color="000000" w:sz="4" w:space="0"/>
              <w:bottom w:val="nil"/>
              <w:right w:val="single" w:color="000000" w:sz="4" w:space="0"/>
            </w:tcBorders>
            <w:shd w:val="clear"/>
            <w:vAlign w:val="center"/>
          </w:tcPr>
          <w:p w14:paraId="6D674A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0.60</w:t>
            </w:r>
          </w:p>
        </w:tc>
        <w:tc>
          <w:tcPr>
            <w:tcW w:w="900" w:type="dxa"/>
            <w:tcBorders>
              <w:top w:val="single" w:color="000000" w:sz="4" w:space="0"/>
              <w:left w:val="single" w:color="000000" w:sz="4" w:space="0"/>
              <w:bottom w:val="nil"/>
              <w:right w:val="single" w:color="000000" w:sz="4" w:space="0"/>
            </w:tcBorders>
            <w:shd w:val="clear"/>
            <w:vAlign w:val="center"/>
          </w:tcPr>
          <w:p w14:paraId="172633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700" w:type="dxa"/>
            <w:tcBorders>
              <w:top w:val="single" w:color="000000" w:sz="4" w:space="0"/>
              <w:left w:val="single" w:color="000000" w:sz="4" w:space="0"/>
              <w:bottom w:val="nil"/>
              <w:right w:val="single" w:color="000000" w:sz="4" w:space="0"/>
            </w:tcBorders>
            <w:shd w:val="clear"/>
            <w:vAlign w:val="center"/>
          </w:tcPr>
          <w:p w14:paraId="7A7D4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484" w:type="dxa"/>
            <w:tcBorders>
              <w:top w:val="single" w:color="000000" w:sz="4" w:space="0"/>
              <w:left w:val="single" w:color="000000" w:sz="4" w:space="0"/>
              <w:bottom w:val="nil"/>
              <w:right w:val="single" w:color="000000" w:sz="4" w:space="0"/>
            </w:tcBorders>
            <w:shd w:val="clear"/>
            <w:vAlign w:val="center"/>
          </w:tcPr>
          <w:p w14:paraId="731AAE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750" w:type="dxa"/>
            <w:gridSpan w:val="2"/>
            <w:tcBorders>
              <w:top w:val="single" w:color="000000" w:sz="4" w:space="0"/>
              <w:left w:val="single" w:color="000000" w:sz="4" w:space="0"/>
              <w:bottom w:val="nil"/>
              <w:right w:val="single" w:color="000000" w:sz="4" w:space="0"/>
            </w:tcBorders>
            <w:shd w:val="clear"/>
            <w:vAlign w:val="center"/>
          </w:tcPr>
          <w:p w14:paraId="1FD04425">
            <w:pPr>
              <w:jc w:val="center"/>
              <w:rPr>
                <w:rFonts w:hint="eastAsia" w:ascii="宋体" w:hAnsi="宋体" w:eastAsia="宋体" w:cs="宋体"/>
                <w:i w:val="0"/>
                <w:iCs w:val="0"/>
                <w:color w:val="000000"/>
                <w:sz w:val="18"/>
                <w:szCs w:val="18"/>
                <w:u w:val="none"/>
              </w:rPr>
            </w:pPr>
          </w:p>
        </w:tc>
      </w:tr>
      <w:tr w14:paraId="54657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40" w:hRule="atLeast"/>
        </w:trPr>
        <w:tc>
          <w:tcPr>
            <w:tcW w:w="848" w:type="dxa"/>
            <w:vMerge w:val="continue"/>
            <w:tcBorders>
              <w:top w:val="single" w:color="000000" w:sz="4" w:space="0"/>
              <w:left w:val="single" w:color="000000" w:sz="4" w:space="0"/>
              <w:bottom w:val="nil"/>
              <w:right w:val="single" w:color="000000" w:sz="4" w:space="0"/>
            </w:tcBorders>
            <w:shd w:val="clear"/>
            <w:vAlign w:val="center"/>
          </w:tcPr>
          <w:p w14:paraId="68DD573A">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05944E96">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05A5765E">
            <w:pPr>
              <w:jc w:val="center"/>
              <w:rPr>
                <w:rFonts w:hint="eastAsia" w:ascii="宋体" w:hAnsi="宋体" w:eastAsia="宋体" w:cs="宋体"/>
                <w:i w:val="0"/>
                <w:iCs w:val="0"/>
                <w:color w:val="000000"/>
                <w:sz w:val="18"/>
                <w:szCs w:val="18"/>
                <w:u w:val="none"/>
              </w:rPr>
            </w:pPr>
          </w:p>
        </w:tc>
        <w:tc>
          <w:tcPr>
            <w:tcW w:w="849" w:type="dxa"/>
            <w:tcBorders>
              <w:top w:val="single" w:color="000000" w:sz="4" w:space="0"/>
              <w:left w:val="single" w:color="000000" w:sz="4" w:space="0"/>
              <w:bottom w:val="nil"/>
              <w:right w:val="single" w:color="000000" w:sz="4" w:space="0"/>
            </w:tcBorders>
            <w:shd w:val="clear"/>
            <w:vAlign w:val="center"/>
          </w:tcPr>
          <w:p w14:paraId="7116AA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办案业务经费项目总成本</w:t>
            </w:r>
          </w:p>
        </w:tc>
        <w:tc>
          <w:tcPr>
            <w:tcW w:w="664" w:type="dxa"/>
            <w:tcBorders>
              <w:top w:val="single" w:color="000000" w:sz="4" w:space="0"/>
              <w:left w:val="single" w:color="000000" w:sz="4" w:space="0"/>
              <w:bottom w:val="nil"/>
              <w:right w:val="single" w:color="000000" w:sz="4" w:space="0"/>
            </w:tcBorders>
            <w:shd w:val="clear"/>
            <w:vAlign w:val="center"/>
          </w:tcPr>
          <w:p w14:paraId="2F49A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683" w:type="dxa"/>
            <w:tcBorders>
              <w:top w:val="single" w:color="000000" w:sz="4" w:space="0"/>
              <w:left w:val="single" w:color="000000" w:sz="4" w:space="0"/>
              <w:bottom w:val="nil"/>
              <w:right w:val="single" w:color="000000" w:sz="4" w:space="0"/>
            </w:tcBorders>
            <w:shd w:val="clear"/>
            <w:vAlign w:val="center"/>
          </w:tcPr>
          <w:p w14:paraId="589897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650" w:type="dxa"/>
            <w:tcBorders>
              <w:top w:val="single" w:color="000000" w:sz="4" w:space="0"/>
              <w:left w:val="single" w:color="000000" w:sz="4" w:space="0"/>
              <w:bottom w:val="nil"/>
              <w:right w:val="single" w:color="000000" w:sz="4" w:space="0"/>
            </w:tcBorders>
            <w:shd w:val="clear"/>
            <w:vAlign w:val="center"/>
          </w:tcPr>
          <w:p w14:paraId="0D1FEF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350</w:t>
            </w:r>
          </w:p>
        </w:tc>
        <w:tc>
          <w:tcPr>
            <w:tcW w:w="733" w:type="dxa"/>
            <w:tcBorders>
              <w:top w:val="single" w:color="000000" w:sz="4" w:space="0"/>
              <w:left w:val="single" w:color="000000" w:sz="4" w:space="0"/>
              <w:bottom w:val="nil"/>
              <w:right w:val="single" w:color="000000" w:sz="4" w:space="0"/>
            </w:tcBorders>
            <w:shd w:val="clear"/>
            <w:vAlign w:val="center"/>
          </w:tcPr>
          <w:p w14:paraId="5621E1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146.28</w:t>
            </w:r>
          </w:p>
        </w:tc>
        <w:tc>
          <w:tcPr>
            <w:tcW w:w="900" w:type="dxa"/>
            <w:tcBorders>
              <w:top w:val="single" w:color="000000" w:sz="4" w:space="0"/>
              <w:left w:val="single" w:color="000000" w:sz="4" w:space="0"/>
              <w:bottom w:val="nil"/>
              <w:right w:val="single" w:color="000000" w:sz="4" w:space="0"/>
            </w:tcBorders>
            <w:shd w:val="clear"/>
            <w:vAlign w:val="center"/>
          </w:tcPr>
          <w:p w14:paraId="28A7A6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700" w:type="dxa"/>
            <w:tcBorders>
              <w:top w:val="single" w:color="000000" w:sz="4" w:space="0"/>
              <w:left w:val="single" w:color="000000" w:sz="4" w:space="0"/>
              <w:bottom w:val="nil"/>
              <w:right w:val="single" w:color="000000" w:sz="4" w:space="0"/>
            </w:tcBorders>
            <w:shd w:val="clear"/>
            <w:vAlign w:val="center"/>
          </w:tcPr>
          <w:p w14:paraId="2FE775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484" w:type="dxa"/>
            <w:tcBorders>
              <w:top w:val="single" w:color="000000" w:sz="4" w:space="0"/>
              <w:left w:val="single" w:color="000000" w:sz="4" w:space="0"/>
              <w:bottom w:val="nil"/>
              <w:right w:val="single" w:color="000000" w:sz="4" w:space="0"/>
            </w:tcBorders>
            <w:shd w:val="clear"/>
            <w:vAlign w:val="center"/>
          </w:tcPr>
          <w:p w14:paraId="2702D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750" w:type="dxa"/>
            <w:gridSpan w:val="2"/>
            <w:tcBorders>
              <w:top w:val="single" w:color="000000" w:sz="4" w:space="0"/>
              <w:left w:val="single" w:color="000000" w:sz="4" w:space="0"/>
              <w:bottom w:val="nil"/>
              <w:right w:val="single" w:color="000000" w:sz="4" w:space="0"/>
            </w:tcBorders>
            <w:shd w:val="clear"/>
            <w:vAlign w:val="center"/>
          </w:tcPr>
          <w:p w14:paraId="6B740AAE">
            <w:pPr>
              <w:jc w:val="center"/>
              <w:rPr>
                <w:rFonts w:hint="eastAsia" w:ascii="宋体" w:hAnsi="宋体" w:eastAsia="宋体" w:cs="宋体"/>
                <w:i w:val="0"/>
                <w:iCs w:val="0"/>
                <w:color w:val="000000"/>
                <w:sz w:val="18"/>
                <w:szCs w:val="18"/>
                <w:u w:val="none"/>
              </w:rPr>
            </w:pPr>
          </w:p>
        </w:tc>
      </w:tr>
      <w:tr w14:paraId="50335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40" w:hRule="atLeast"/>
        </w:trPr>
        <w:tc>
          <w:tcPr>
            <w:tcW w:w="848" w:type="dxa"/>
            <w:vMerge w:val="continue"/>
            <w:tcBorders>
              <w:top w:val="single" w:color="000000" w:sz="4" w:space="0"/>
              <w:left w:val="single" w:color="000000" w:sz="4" w:space="0"/>
              <w:bottom w:val="nil"/>
              <w:right w:val="single" w:color="000000" w:sz="4" w:space="0"/>
            </w:tcBorders>
            <w:shd w:val="clear"/>
            <w:vAlign w:val="center"/>
          </w:tcPr>
          <w:p w14:paraId="3B6AC1BA">
            <w:pPr>
              <w:jc w:val="center"/>
              <w:rPr>
                <w:rFonts w:hint="eastAsia" w:ascii="宋体" w:hAnsi="宋体" w:eastAsia="宋体" w:cs="宋体"/>
                <w:i w:val="0"/>
                <w:iCs w:val="0"/>
                <w:color w:val="000000"/>
                <w:sz w:val="18"/>
                <w:szCs w:val="18"/>
                <w:u w:val="none"/>
              </w:rPr>
            </w:pPr>
          </w:p>
        </w:tc>
        <w:tc>
          <w:tcPr>
            <w:tcW w:w="848" w:type="dxa"/>
            <w:vMerge w:val="restart"/>
            <w:tcBorders>
              <w:top w:val="single" w:color="000000" w:sz="4" w:space="0"/>
              <w:left w:val="single" w:color="000000" w:sz="4" w:space="0"/>
              <w:bottom w:val="nil"/>
              <w:right w:val="single" w:color="000000" w:sz="4" w:space="0"/>
            </w:tcBorders>
            <w:shd w:val="clear"/>
            <w:vAlign w:val="center"/>
          </w:tcPr>
          <w:p w14:paraId="40744C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848" w:type="dxa"/>
            <w:vMerge w:val="restart"/>
            <w:tcBorders>
              <w:top w:val="single" w:color="000000" w:sz="4" w:space="0"/>
              <w:left w:val="single" w:color="000000" w:sz="4" w:space="0"/>
              <w:bottom w:val="nil"/>
              <w:right w:val="single" w:color="000000" w:sz="4" w:space="0"/>
            </w:tcBorders>
            <w:shd w:val="clear"/>
            <w:vAlign w:val="center"/>
          </w:tcPr>
          <w:p w14:paraId="188635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849" w:type="dxa"/>
            <w:tcBorders>
              <w:top w:val="single" w:color="000000" w:sz="4" w:space="0"/>
              <w:left w:val="single" w:color="000000" w:sz="4" w:space="0"/>
              <w:bottom w:val="nil"/>
              <w:right w:val="single" w:color="000000" w:sz="4" w:space="0"/>
            </w:tcBorders>
            <w:shd w:val="clear"/>
            <w:vAlign w:val="center"/>
          </w:tcPr>
          <w:p w14:paraId="483AE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办案效率</w:t>
            </w:r>
          </w:p>
        </w:tc>
        <w:tc>
          <w:tcPr>
            <w:tcW w:w="664" w:type="dxa"/>
            <w:tcBorders>
              <w:top w:val="single" w:color="000000" w:sz="4" w:space="0"/>
              <w:left w:val="single" w:color="000000" w:sz="4" w:space="0"/>
              <w:bottom w:val="nil"/>
              <w:right w:val="single" w:color="000000" w:sz="4" w:space="0"/>
            </w:tcBorders>
            <w:shd w:val="clear"/>
            <w:vAlign w:val="center"/>
          </w:tcPr>
          <w:p w14:paraId="4B6D17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683" w:type="dxa"/>
            <w:tcBorders>
              <w:top w:val="single" w:color="000000" w:sz="4" w:space="0"/>
              <w:left w:val="single" w:color="000000" w:sz="4" w:space="0"/>
              <w:bottom w:val="nil"/>
              <w:right w:val="single" w:color="000000" w:sz="4" w:space="0"/>
            </w:tcBorders>
            <w:shd w:val="clear"/>
            <w:vAlign w:val="center"/>
          </w:tcPr>
          <w:p w14:paraId="2460FCBB">
            <w:pPr>
              <w:jc w:val="center"/>
              <w:rPr>
                <w:rFonts w:hint="eastAsia" w:ascii="宋体" w:hAnsi="宋体" w:eastAsia="宋体" w:cs="宋体"/>
                <w:i w:val="0"/>
                <w:iCs w:val="0"/>
                <w:color w:val="000000"/>
                <w:sz w:val="18"/>
                <w:szCs w:val="18"/>
                <w:u w:val="none"/>
              </w:rPr>
            </w:pPr>
          </w:p>
        </w:tc>
        <w:tc>
          <w:tcPr>
            <w:tcW w:w="650" w:type="dxa"/>
            <w:tcBorders>
              <w:top w:val="single" w:color="000000" w:sz="4" w:space="0"/>
              <w:left w:val="single" w:color="000000" w:sz="4" w:space="0"/>
              <w:bottom w:val="nil"/>
              <w:right w:val="single" w:color="000000" w:sz="4" w:space="0"/>
            </w:tcBorders>
            <w:shd w:val="clear"/>
            <w:vAlign w:val="center"/>
          </w:tcPr>
          <w:p w14:paraId="26475B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提高</w:t>
            </w:r>
          </w:p>
        </w:tc>
        <w:tc>
          <w:tcPr>
            <w:tcW w:w="733" w:type="dxa"/>
            <w:tcBorders>
              <w:top w:val="single" w:color="000000" w:sz="4" w:space="0"/>
              <w:left w:val="single" w:color="000000" w:sz="4" w:space="0"/>
              <w:bottom w:val="nil"/>
              <w:right w:val="single" w:color="000000" w:sz="4" w:space="0"/>
            </w:tcBorders>
            <w:shd w:val="clear"/>
            <w:vAlign w:val="center"/>
          </w:tcPr>
          <w:p w14:paraId="07C79A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提高</w:t>
            </w:r>
          </w:p>
        </w:tc>
        <w:tc>
          <w:tcPr>
            <w:tcW w:w="900" w:type="dxa"/>
            <w:tcBorders>
              <w:top w:val="single" w:color="000000" w:sz="4" w:space="0"/>
              <w:left w:val="single" w:color="000000" w:sz="4" w:space="0"/>
              <w:bottom w:val="nil"/>
              <w:right w:val="single" w:color="000000" w:sz="4" w:space="0"/>
            </w:tcBorders>
            <w:shd w:val="clear"/>
            <w:vAlign w:val="center"/>
          </w:tcPr>
          <w:p w14:paraId="453A1940">
            <w:pPr>
              <w:jc w:val="cente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nil"/>
              <w:right w:val="single" w:color="000000" w:sz="4" w:space="0"/>
            </w:tcBorders>
            <w:shd w:val="clear"/>
            <w:vAlign w:val="center"/>
          </w:tcPr>
          <w:p w14:paraId="26D0D2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4" w:type="dxa"/>
            <w:tcBorders>
              <w:top w:val="single" w:color="000000" w:sz="4" w:space="0"/>
              <w:left w:val="single" w:color="000000" w:sz="4" w:space="0"/>
              <w:bottom w:val="nil"/>
              <w:right w:val="single" w:color="000000" w:sz="4" w:space="0"/>
            </w:tcBorders>
            <w:shd w:val="clear"/>
            <w:vAlign w:val="center"/>
          </w:tcPr>
          <w:p w14:paraId="5C04A4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50" w:type="dxa"/>
            <w:gridSpan w:val="2"/>
            <w:tcBorders>
              <w:top w:val="single" w:color="000000" w:sz="4" w:space="0"/>
              <w:left w:val="single" w:color="000000" w:sz="4" w:space="0"/>
              <w:bottom w:val="nil"/>
              <w:right w:val="single" w:color="000000" w:sz="4" w:space="0"/>
            </w:tcBorders>
            <w:shd w:val="clear"/>
            <w:vAlign w:val="center"/>
          </w:tcPr>
          <w:p w14:paraId="05B8869A">
            <w:pPr>
              <w:jc w:val="center"/>
              <w:rPr>
                <w:rFonts w:hint="eastAsia" w:ascii="宋体" w:hAnsi="宋体" w:eastAsia="宋体" w:cs="宋体"/>
                <w:i w:val="0"/>
                <w:iCs w:val="0"/>
                <w:color w:val="000000"/>
                <w:sz w:val="18"/>
                <w:szCs w:val="18"/>
                <w:u w:val="none"/>
              </w:rPr>
            </w:pPr>
          </w:p>
        </w:tc>
      </w:tr>
      <w:tr w14:paraId="4B11E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40" w:hRule="atLeast"/>
        </w:trPr>
        <w:tc>
          <w:tcPr>
            <w:tcW w:w="848" w:type="dxa"/>
            <w:vMerge w:val="continue"/>
            <w:tcBorders>
              <w:top w:val="single" w:color="000000" w:sz="4" w:space="0"/>
              <w:left w:val="single" w:color="000000" w:sz="4" w:space="0"/>
              <w:bottom w:val="nil"/>
              <w:right w:val="single" w:color="000000" w:sz="4" w:space="0"/>
            </w:tcBorders>
            <w:shd w:val="clear"/>
            <w:vAlign w:val="center"/>
          </w:tcPr>
          <w:p w14:paraId="148186A2">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55A61FF1">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653A048D">
            <w:pPr>
              <w:jc w:val="center"/>
              <w:rPr>
                <w:rFonts w:hint="eastAsia" w:ascii="宋体" w:hAnsi="宋体" w:eastAsia="宋体" w:cs="宋体"/>
                <w:i w:val="0"/>
                <w:iCs w:val="0"/>
                <w:color w:val="000000"/>
                <w:sz w:val="18"/>
                <w:szCs w:val="18"/>
                <w:u w:val="none"/>
              </w:rPr>
            </w:pPr>
          </w:p>
        </w:tc>
        <w:tc>
          <w:tcPr>
            <w:tcW w:w="849" w:type="dxa"/>
            <w:tcBorders>
              <w:top w:val="single" w:color="000000" w:sz="4" w:space="0"/>
              <w:left w:val="single" w:color="000000" w:sz="4" w:space="0"/>
              <w:bottom w:val="nil"/>
              <w:right w:val="single" w:color="000000" w:sz="4" w:space="0"/>
            </w:tcBorders>
            <w:shd w:val="clear"/>
            <w:vAlign w:val="center"/>
          </w:tcPr>
          <w:p w14:paraId="537596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办案人员办案业务能力</w:t>
            </w:r>
          </w:p>
        </w:tc>
        <w:tc>
          <w:tcPr>
            <w:tcW w:w="664" w:type="dxa"/>
            <w:tcBorders>
              <w:top w:val="single" w:color="000000" w:sz="4" w:space="0"/>
              <w:left w:val="single" w:color="000000" w:sz="4" w:space="0"/>
              <w:bottom w:val="nil"/>
              <w:right w:val="single" w:color="000000" w:sz="4" w:space="0"/>
            </w:tcBorders>
            <w:shd w:val="clear"/>
            <w:vAlign w:val="center"/>
          </w:tcPr>
          <w:p w14:paraId="3E3FE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683" w:type="dxa"/>
            <w:tcBorders>
              <w:top w:val="single" w:color="000000" w:sz="4" w:space="0"/>
              <w:left w:val="single" w:color="000000" w:sz="4" w:space="0"/>
              <w:bottom w:val="nil"/>
              <w:right w:val="single" w:color="000000" w:sz="4" w:space="0"/>
            </w:tcBorders>
            <w:shd w:val="clear"/>
            <w:vAlign w:val="center"/>
          </w:tcPr>
          <w:p w14:paraId="040BDB97">
            <w:pPr>
              <w:jc w:val="center"/>
              <w:rPr>
                <w:rFonts w:hint="eastAsia" w:ascii="宋体" w:hAnsi="宋体" w:eastAsia="宋体" w:cs="宋体"/>
                <w:i w:val="0"/>
                <w:iCs w:val="0"/>
                <w:color w:val="000000"/>
                <w:sz w:val="18"/>
                <w:szCs w:val="18"/>
                <w:u w:val="none"/>
              </w:rPr>
            </w:pPr>
          </w:p>
        </w:tc>
        <w:tc>
          <w:tcPr>
            <w:tcW w:w="650" w:type="dxa"/>
            <w:tcBorders>
              <w:top w:val="single" w:color="000000" w:sz="4" w:space="0"/>
              <w:left w:val="single" w:color="000000" w:sz="4" w:space="0"/>
              <w:bottom w:val="nil"/>
              <w:right w:val="single" w:color="000000" w:sz="4" w:space="0"/>
            </w:tcBorders>
            <w:shd w:val="clear"/>
            <w:vAlign w:val="center"/>
          </w:tcPr>
          <w:p w14:paraId="347CE7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提升</w:t>
            </w:r>
          </w:p>
        </w:tc>
        <w:tc>
          <w:tcPr>
            <w:tcW w:w="733" w:type="dxa"/>
            <w:tcBorders>
              <w:top w:val="single" w:color="000000" w:sz="4" w:space="0"/>
              <w:left w:val="single" w:color="000000" w:sz="4" w:space="0"/>
              <w:bottom w:val="nil"/>
              <w:right w:val="single" w:color="000000" w:sz="4" w:space="0"/>
            </w:tcBorders>
            <w:shd w:val="clear"/>
            <w:vAlign w:val="center"/>
          </w:tcPr>
          <w:p w14:paraId="0E5C88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提升</w:t>
            </w:r>
          </w:p>
        </w:tc>
        <w:tc>
          <w:tcPr>
            <w:tcW w:w="900" w:type="dxa"/>
            <w:tcBorders>
              <w:top w:val="single" w:color="000000" w:sz="4" w:space="0"/>
              <w:left w:val="single" w:color="000000" w:sz="4" w:space="0"/>
              <w:bottom w:val="nil"/>
              <w:right w:val="single" w:color="000000" w:sz="4" w:space="0"/>
            </w:tcBorders>
            <w:shd w:val="clear"/>
            <w:vAlign w:val="center"/>
          </w:tcPr>
          <w:p w14:paraId="6759EECD">
            <w:pPr>
              <w:jc w:val="cente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nil"/>
              <w:right w:val="single" w:color="000000" w:sz="4" w:space="0"/>
            </w:tcBorders>
            <w:shd w:val="clear"/>
            <w:vAlign w:val="center"/>
          </w:tcPr>
          <w:p w14:paraId="23DF18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4" w:type="dxa"/>
            <w:tcBorders>
              <w:top w:val="single" w:color="000000" w:sz="4" w:space="0"/>
              <w:left w:val="single" w:color="000000" w:sz="4" w:space="0"/>
              <w:bottom w:val="nil"/>
              <w:right w:val="single" w:color="000000" w:sz="4" w:space="0"/>
            </w:tcBorders>
            <w:shd w:val="clear"/>
            <w:vAlign w:val="center"/>
          </w:tcPr>
          <w:p w14:paraId="739B55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50" w:type="dxa"/>
            <w:gridSpan w:val="2"/>
            <w:tcBorders>
              <w:top w:val="single" w:color="000000" w:sz="4" w:space="0"/>
              <w:left w:val="single" w:color="000000" w:sz="4" w:space="0"/>
              <w:bottom w:val="nil"/>
              <w:right w:val="single" w:color="000000" w:sz="4" w:space="0"/>
            </w:tcBorders>
            <w:shd w:val="clear"/>
            <w:vAlign w:val="center"/>
          </w:tcPr>
          <w:p w14:paraId="18B05AB3">
            <w:pPr>
              <w:jc w:val="center"/>
              <w:rPr>
                <w:rFonts w:hint="eastAsia" w:ascii="宋体" w:hAnsi="宋体" w:eastAsia="宋体" w:cs="宋体"/>
                <w:i w:val="0"/>
                <w:iCs w:val="0"/>
                <w:color w:val="000000"/>
                <w:sz w:val="18"/>
                <w:szCs w:val="18"/>
                <w:u w:val="none"/>
              </w:rPr>
            </w:pPr>
          </w:p>
        </w:tc>
      </w:tr>
      <w:tr w14:paraId="140E6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40" w:hRule="atLeast"/>
        </w:trPr>
        <w:tc>
          <w:tcPr>
            <w:tcW w:w="848" w:type="dxa"/>
            <w:vMerge w:val="continue"/>
            <w:tcBorders>
              <w:top w:val="single" w:color="000000" w:sz="4" w:space="0"/>
              <w:left w:val="single" w:color="000000" w:sz="4" w:space="0"/>
              <w:bottom w:val="nil"/>
              <w:right w:val="single" w:color="000000" w:sz="4" w:space="0"/>
            </w:tcBorders>
            <w:shd w:val="clear"/>
            <w:vAlign w:val="center"/>
          </w:tcPr>
          <w:p w14:paraId="571CDAB6">
            <w:pPr>
              <w:jc w:val="center"/>
              <w:rPr>
                <w:rFonts w:hint="eastAsia" w:ascii="宋体" w:hAnsi="宋体" w:eastAsia="宋体" w:cs="宋体"/>
                <w:i w:val="0"/>
                <w:iCs w:val="0"/>
                <w:color w:val="000000"/>
                <w:sz w:val="18"/>
                <w:szCs w:val="18"/>
                <w:u w:val="none"/>
              </w:rPr>
            </w:pPr>
          </w:p>
        </w:tc>
        <w:tc>
          <w:tcPr>
            <w:tcW w:w="848" w:type="dxa"/>
            <w:vMerge w:val="continue"/>
            <w:tcBorders>
              <w:top w:val="single" w:color="000000" w:sz="4" w:space="0"/>
              <w:left w:val="single" w:color="000000" w:sz="4" w:space="0"/>
              <w:bottom w:val="nil"/>
              <w:right w:val="single" w:color="000000" w:sz="4" w:space="0"/>
            </w:tcBorders>
            <w:shd w:val="clear"/>
            <w:vAlign w:val="center"/>
          </w:tcPr>
          <w:p w14:paraId="614BF567">
            <w:pPr>
              <w:jc w:val="cente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nil"/>
              <w:right w:val="single" w:color="000000" w:sz="4" w:space="0"/>
            </w:tcBorders>
            <w:shd w:val="clear"/>
            <w:vAlign w:val="center"/>
          </w:tcPr>
          <w:p w14:paraId="109B9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849" w:type="dxa"/>
            <w:tcBorders>
              <w:top w:val="single" w:color="000000" w:sz="4" w:space="0"/>
              <w:left w:val="single" w:color="000000" w:sz="4" w:space="0"/>
              <w:bottom w:val="nil"/>
              <w:right w:val="single" w:color="000000" w:sz="4" w:space="0"/>
            </w:tcBorders>
            <w:shd w:val="clear"/>
            <w:vAlign w:val="center"/>
          </w:tcPr>
          <w:p w14:paraId="63CC45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加强社会主义法制建设</w:t>
            </w:r>
          </w:p>
        </w:tc>
        <w:tc>
          <w:tcPr>
            <w:tcW w:w="664" w:type="dxa"/>
            <w:tcBorders>
              <w:top w:val="single" w:color="000000" w:sz="4" w:space="0"/>
              <w:left w:val="single" w:color="000000" w:sz="4" w:space="0"/>
              <w:bottom w:val="nil"/>
              <w:right w:val="single" w:color="000000" w:sz="4" w:space="0"/>
            </w:tcBorders>
            <w:shd w:val="clear"/>
            <w:vAlign w:val="center"/>
          </w:tcPr>
          <w:p w14:paraId="45BD52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683" w:type="dxa"/>
            <w:tcBorders>
              <w:top w:val="single" w:color="000000" w:sz="4" w:space="0"/>
              <w:left w:val="single" w:color="000000" w:sz="4" w:space="0"/>
              <w:bottom w:val="nil"/>
              <w:right w:val="single" w:color="000000" w:sz="4" w:space="0"/>
            </w:tcBorders>
            <w:shd w:val="clear"/>
            <w:vAlign w:val="center"/>
          </w:tcPr>
          <w:p w14:paraId="46CBB0C0">
            <w:pPr>
              <w:jc w:val="center"/>
              <w:rPr>
                <w:rFonts w:hint="eastAsia" w:ascii="宋体" w:hAnsi="宋体" w:eastAsia="宋体" w:cs="宋体"/>
                <w:i w:val="0"/>
                <w:iCs w:val="0"/>
                <w:color w:val="000000"/>
                <w:sz w:val="18"/>
                <w:szCs w:val="18"/>
                <w:u w:val="none"/>
              </w:rPr>
            </w:pPr>
          </w:p>
        </w:tc>
        <w:tc>
          <w:tcPr>
            <w:tcW w:w="650" w:type="dxa"/>
            <w:tcBorders>
              <w:top w:val="single" w:color="000000" w:sz="4" w:space="0"/>
              <w:left w:val="single" w:color="000000" w:sz="4" w:space="0"/>
              <w:bottom w:val="nil"/>
              <w:right w:val="single" w:color="000000" w:sz="4" w:space="0"/>
            </w:tcBorders>
            <w:shd w:val="clear"/>
            <w:vAlign w:val="center"/>
          </w:tcPr>
          <w:p w14:paraId="44A3EA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加强</w:t>
            </w:r>
          </w:p>
        </w:tc>
        <w:tc>
          <w:tcPr>
            <w:tcW w:w="733" w:type="dxa"/>
            <w:tcBorders>
              <w:top w:val="single" w:color="000000" w:sz="4" w:space="0"/>
              <w:left w:val="single" w:color="000000" w:sz="4" w:space="0"/>
              <w:bottom w:val="nil"/>
              <w:right w:val="single" w:color="000000" w:sz="4" w:space="0"/>
            </w:tcBorders>
            <w:shd w:val="clear"/>
            <w:vAlign w:val="center"/>
          </w:tcPr>
          <w:p w14:paraId="639F02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加强</w:t>
            </w:r>
          </w:p>
        </w:tc>
        <w:tc>
          <w:tcPr>
            <w:tcW w:w="900" w:type="dxa"/>
            <w:tcBorders>
              <w:top w:val="single" w:color="000000" w:sz="4" w:space="0"/>
              <w:left w:val="single" w:color="000000" w:sz="4" w:space="0"/>
              <w:bottom w:val="nil"/>
              <w:right w:val="single" w:color="000000" w:sz="4" w:space="0"/>
            </w:tcBorders>
            <w:shd w:val="clear"/>
            <w:vAlign w:val="center"/>
          </w:tcPr>
          <w:p w14:paraId="1E5D4EF7">
            <w:pPr>
              <w:jc w:val="cente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nil"/>
              <w:right w:val="single" w:color="000000" w:sz="4" w:space="0"/>
            </w:tcBorders>
            <w:shd w:val="clear"/>
            <w:vAlign w:val="center"/>
          </w:tcPr>
          <w:p w14:paraId="1963C8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4" w:type="dxa"/>
            <w:tcBorders>
              <w:top w:val="single" w:color="000000" w:sz="4" w:space="0"/>
              <w:left w:val="single" w:color="000000" w:sz="4" w:space="0"/>
              <w:bottom w:val="nil"/>
              <w:right w:val="single" w:color="000000" w:sz="4" w:space="0"/>
            </w:tcBorders>
            <w:shd w:val="clear"/>
            <w:vAlign w:val="center"/>
          </w:tcPr>
          <w:p w14:paraId="319DD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50" w:type="dxa"/>
            <w:gridSpan w:val="2"/>
            <w:tcBorders>
              <w:top w:val="single" w:color="000000" w:sz="4" w:space="0"/>
              <w:left w:val="single" w:color="000000" w:sz="4" w:space="0"/>
              <w:bottom w:val="nil"/>
              <w:right w:val="single" w:color="000000" w:sz="4" w:space="0"/>
            </w:tcBorders>
            <w:shd w:val="clear"/>
            <w:vAlign w:val="center"/>
          </w:tcPr>
          <w:p w14:paraId="3D0E99E7">
            <w:pPr>
              <w:jc w:val="center"/>
              <w:rPr>
                <w:rFonts w:hint="eastAsia" w:ascii="宋体" w:hAnsi="宋体" w:eastAsia="宋体" w:cs="宋体"/>
                <w:i w:val="0"/>
                <w:iCs w:val="0"/>
                <w:color w:val="000000"/>
                <w:sz w:val="18"/>
                <w:szCs w:val="18"/>
                <w:u w:val="none"/>
              </w:rPr>
            </w:pPr>
          </w:p>
        </w:tc>
      </w:tr>
      <w:tr w14:paraId="51448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840" w:hRule="atLeast"/>
        </w:trPr>
        <w:tc>
          <w:tcPr>
            <w:tcW w:w="848" w:type="dxa"/>
            <w:vMerge w:val="continue"/>
            <w:tcBorders>
              <w:top w:val="single" w:color="000000" w:sz="4" w:space="0"/>
              <w:left w:val="single" w:color="000000" w:sz="4" w:space="0"/>
              <w:bottom w:val="nil"/>
              <w:right w:val="single" w:color="000000" w:sz="4" w:space="0"/>
            </w:tcBorders>
            <w:shd w:val="clear"/>
            <w:vAlign w:val="center"/>
          </w:tcPr>
          <w:p w14:paraId="65646788">
            <w:pPr>
              <w:jc w:val="center"/>
              <w:rPr>
                <w:rFonts w:hint="eastAsia" w:ascii="宋体" w:hAnsi="宋体" w:eastAsia="宋体" w:cs="宋体"/>
                <w:i w:val="0"/>
                <w:iCs w:val="0"/>
                <w:color w:val="000000"/>
                <w:sz w:val="18"/>
                <w:szCs w:val="18"/>
                <w:u w:val="none"/>
              </w:rPr>
            </w:pPr>
          </w:p>
        </w:tc>
        <w:tc>
          <w:tcPr>
            <w:tcW w:w="848" w:type="dxa"/>
            <w:tcBorders>
              <w:top w:val="single" w:color="000000" w:sz="4" w:space="0"/>
              <w:left w:val="single" w:color="000000" w:sz="4" w:space="0"/>
              <w:bottom w:val="nil"/>
              <w:right w:val="single" w:color="000000" w:sz="4" w:space="0"/>
            </w:tcBorders>
            <w:shd w:val="clear"/>
            <w:vAlign w:val="center"/>
          </w:tcPr>
          <w:p w14:paraId="7EC90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848" w:type="dxa"/>
            <w:tcBorders>
              <w:top w:val="single" w:color="000000" w:sz="4" w:space="0"/>
              <w:left w:val="single" w:color="000000" w:sz="4" w:space="0"/>
              <w:bottom w:val="nil"/>
              <w:right w:val="single" w:color="000000" w:sz="4" w:space="0"/>
            </w:tcBorders>
            <w:shd w:val="clear"/>
            <w:vAlign w:val="center"/>
          </w:tcPr>
          <w:p w14:paraId="14C4E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849" w:type="dxa"/>
            <w:tcBorders>
              <w:top w:val="single" w:color="000000" w:sz="4" w:space="0"/>
              <w:left w:val="single" w:color="000000" w:sz="4" w:space="0"/>
              <w:bottom w:val="nil"/>
              <w:right w:val="single" w:color="000000" w:sz="4" w:space="0"/>
            </w:tcBorders>
            <w:shd w:val="clear"/>
            <w:vAlign w:val="center"/>
          </w:tcPr>
          <w:p w14:paraId="03EF73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办案人员满意度</w:t>
            </w:r>
          </w:p>
        </w:tc>
        <w:tc>
          <w:tcPr>
            <w:tcW w:w="664" w:type="dxa"/>
            <w:tcBorders>
              <w:top w:val="single" w:color="000000" w:sz="4" w:space="0"/>
              <w:left w:val="single" w:color="000000" w:sz="4" w:space="0"/>
              <w:bottom w:val="nil"/>
              <w:right w:val="single" w:color="000000" w:sz="4" w:space="0"/>
            </w:tcBorders>
            <w:shd w:val="clear"/>
            <w:vAlign w:val="center"/>
          </w:tcPr>
          <w:p w14:paraId="382775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683" w:type="dxa"/>
            <w:tcBorders>
              <w:top w:val="single" w:color="000000" w:sz="4" w:space="0"/>
              <w:left w:val="single" w:color="000000" w:sz="4" w:space="0"/>
              <w:bottom w:val="nil"/>
              <w:right w:val="single" w:color="000000" w:sz="4" w:space="0"/>
            </w:tcBorders>
            <w:shd w:val="clear"/>
            <w:vAlign w:val="center"/>
          </w:tcPr>
          <w:p w14:paraId="28C81C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w:t>
            </w:r>
          </w:p>
        </w:tc>
        <w:tc>
          <w:tcPr>
            <w:tcW w:w="650" w:type="dxa"/>
            <w:tcBorders>
              <w:top w:val="single" w:color="000000" w:sz="4" w:space="0"/>
              <w:left w:val="single" w:color="000000" w:sz="4" w:space="0"/>
              <w:bottom w:val="nil"/>
              <w:right w:val="single" w:color="000000" w:sz="4" w:space="0"/>
            </w:tcBorders>
            <w:shd w:val="clear"/>
            <w:vAlign w:val="center"/>
          </w:tcPr>
          <w:p w14:paraId="78EC6E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97</w:t>
            </w:r>
          </w:p>
        </w:tc>
        <w:tc>
          <w:tcPr>
            <w:tcW w:w="733" w:type="dxa"/>
            <w:tcBorders>
              <w:top w:val="single" w:color="000000" w:sz="4" w:space="0"/>
              <w:left w:val="single" w:color="000000" w:sz="4" w:space="0"/>
              <w:bottom w:val="nil"/>
              <w:right w:val="single" w:color="000000" w:sz="4" w:space="0"/>
            </w:tcBorders>
            <w:shd w:val="clear"/>
            <w:vAlign w:val="center"/>
          </w:tcPr>
          <w:p w14:paraId="1BD52D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900" w:type="dxa"/>
            <w:tcBorders>
              <w:top w:val="single" w:color="000000" w:sz="4" w:space="0"/>
              <w:left w:val="single" w:color="000000" w:sz="4" w:space="0"/>
              <w:bottom w:val="nil"/>
              <w:right w:val="single" w:color="000000" w:sz="4" w:space="0"/>
            </w:tcBorders>
            <w:shd w:val="clear"/>
            <w:vAlign w:val="center"/>
          </w:tcPr>
          <w:p w14:paraId="3A4CC3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0" w:type="dxa"/>
            <w:tcBorders>
              <w:top w:val="single" w:color="000000" w:sz="4" w:space="0"/>
              <w:left w:val="single" w:color="000000" w:sz="4" w:space="0"/>
              <w:bottom w:val="nil"/>
              <w:right w:val="single" w:color="000000" w:sz="4" w:space="0"/>
            </w:tcBorders>
            <w:shd w:val="clear"/>
            <w:vAlign w:val="center"/>
          </w:tcPr>
          <w:p w14:paraId="5E24FE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84" w:type="dxa"/>
            <w:tcBorders>
              <w:top w:val="single" w:color="000000" w:sz="4" w:space="0"/>
              <w:left w:val="single" w:color="000000" w:sz="4" w:space="0"/>
              <w:bottom w:val="nil"/>
              <w:right w:val="single" w:color="000000" w:sz="4" w:space="0"/>
            </w:tcBorders>
            <w:shd w:val="clear"/>
            <w:vAlign w:val="center"/>
          </w:tcPr>
          <w:p w14:paraId="37F35F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50" w:type="dxa"/>
            <w:gridSpan w:val="2"/>
            <w:tcBorders>
              <w:top w:val="single" w:color="000000" w:sz="4" w:space="0"/>
              <w:left w:val="single" w:color="000000" w:sz="4" w:space="0"/>
              <w:bottom w:val="nil"/>
              <w:right w:val="single" w:color="000000" w:sz="4" w:space="0"/>
            </w:tcBorders>
            <w:shd w:val="clear"/>
            <w:vAlign w:val="center"/>
          </w:tcPr>
          <w:p w14:paraId="2145CF91">
            <w:pPr>
              <w:jc w:val="center"/>
              <w:rPr>
                <w:rFonts w:hint="eastAsia" w:ascii="宋体" w:hAnsi="宋体" w:eastAsia="宋体" w:cs="宋体"/>
                <w:i w:val="0"/>
                <w:iCs w:val="0"/>
                <w:color w:val="000000"/>
                <w:sz w:val="18"/>
                <w:szCs w:val="18"/>
                <w:u w:val="none"/>
              </w:rPr>
            </w:pPr>
          </w:p>
        </w:tc>
      </w:tr>
      <w:tr w14:paraId="5F7F5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40" w:hRule="atLeast"/>
        </w:trPr>
        <w:tc>
          <w:tcPr>
            <w:tcW w:w="7023" w:type="dxa"/>
            <w:gridSpan w:val="9"/>
            <w:tcBorders>
              <w:top w:val="single" w:color="000000" w:sz="4" w:space="0"/>
              <w:left w:val="single" w:color="000000" w:sz="4" w:space="0"/>
              <w:bottom w:val="single" w:color="000000" w:sz="4" w:space="0"/>
              <w:right w:val="single" w:color="000000" w:sz="4" w:space="0"/>
            </w:tcBorders>
            <w:shd w:val="clear"/>
            <w:vAlign w:val="center"/>
          </w:tcPr>
          <w:p w14:paraId="3ED55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14:paraId="6DF54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484" w:type="dxa"/>
            <w:tcBorders>
              <w:top w:val="single" w:color="000000" w:sz="4" w:space="0"/>
              <w:left w:val="single" w:color="000000" w:sz="4" w:space="0"/>
              <w:bottom w:val="single" w:color="000000" w:sz="4" w:space="0"/>
              <w:right w:val="single" w:color="000000" w:sz="4" w:space="0"/>
            </w:tcBorders>
            <w:shd w:val="clear"/>
            <w:vAlign w:val="center"/>
          </w:tcPr>
          <w:p w14:paraId="446CD4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99.96</w:t>
            </w:r>
          </w:p>
        </w:tc>
        <w:tc>
          <w:tcPr>
            <w:tcW w:w="750" w:type="dxa"/>
            <w:gridSpan w:val="2"/>
            <w:tcBorders>
              <w:top w:val="single" w:color="000000" w:sz="4" w:space="0"/>
              <w:left w:val="single" w:color="000000" w:sz="4" w:space="0"/>
              <w:bottom w:val="single" w:color="000000" w:sz="4" w:space="0"/>
              <w:right w:val="single" w:color="000000" w:sz="4" w:space="0"/>
            </w:tcBorders>
            <w:shd w:val="clear"/>
            <w:vAlign w:val="center"/>
          </w:tcPr>
          <w:p w14:paraId="1CB007CD">
            <w:pPr>
              <w:jc w:val="center"/>
              <w:rPr>
                <w:rFonts w:hint="eastAsia" w:ascii="宋体" w:hAnsi="宋体" w:eastAsia="宋体" w:cs="宋体"/>
                <w:i w:val="0"/>
                <w:iCs w:val="0"/>
                <w:color w:val="000000"/>
                <w:sz w:val="18"/>
                <w:szCs w:val="18"/>
                <w:u w:val="none"/>
              </w:rPr>
            </w:pPr>
          </w:p>
        </w:tc>
      </w:tr>
    </w:tbl>
    <w:p w14:paraId="5F2670CA">
      <w:pPr>
        <w:keepNext w:val="0"/>
        <w:keepLines w:val="0"/>
        <w:pageBreakBefore w:val="0"/>
        <w:widowControl/>
        <w:kinsoku/>
        <w:wordWrap/>
        <w:overflowPunct/>
        <w:topLinePunct w:val="0"/>
        <w:autoSpaceDE/>
        <w:autoSpaceDN/>
        <w:bidi w:val="0"/>
        <w:spacing w:afterAutospacing="0" w:line="560" w:lineRule="exact"/>
        <w:textAlignment w:val="auto"/>
        <w:rPr>
          <w:rFonts w:ascii="仿宋_GB2312" w:hAnsi="仿宋_GB2312" w:eastAsia="仿宋_GB2312" w:cs="仿宋_GB2312"/>
          <w:color w:val="000000"/>
          <w:kern w:val="0"/>
          <w:sz w:val="32"/>
          <w:szCs w:val="32"/>
          <w:u w:val="none" w:color="auto"/>
        </w:rPr>
      </w:pPr>
    </w:p>
    <w:p w14:paraId="50E5305E">
      <w:pPr>
        <w:keepNext w:val="0"/>
        <w:keepLines w:val="0"/>
        <w:pageBreakBefore w:val="0"/>
        <w:widowControl/>
        <w:kinsoku/>
        <w:wordWrap/>
        <w:overflowPunct/>
        <w:topLinePunct w:val="0"/>
        <w:autoSpaceDE/>
        <w:autoSpaceDN/>
        <w:bidi w:val="0"/>
        <w:spacing w:afterAutospacing="0" w:line="560" w:lineRule="exact"/>
        <w:ind w:firstLine="643" w:firstLineChars="200"/>
        <w:textAlignment w:val="auto"/>
        <w:rPr>
          <w:rFonts w:ascii="仿宋_GB2312" w:hAnsi="仿宋_GB2312" w:eastAsia="仿宋_GB2312" w:cs="仿宋_GB2312"/>
          <w:color w:val="1200FF"/>
          <w:kern w:val="0"/>
          <w:sz w:val="32"/>
          <w:szCs w:val="32"/>
          <w:u w:val="none" w:color="auto"/>
        </w:rPr>
      </w:pPr>
      <w:r>
        <w:rPr>
          <w:rFonts w:hint="eastAsia" w:ascii="仿宋_GB2312" w:hAnsi="仿宋_GB2312" w:eastAsia="仿宋_GB2312" w:cs="仿宋_GB2312"/>
          <w:b/>
          <w:bCs/>
          <w:color w:val="000000"/>
          <w:kern w:val="0"/>
          <w:sz w:val="32"/>
          <w:szCs w:val="32"/>
          <w:u w:val="none" w:color="auto"/>
          <w:lang w:val="en-US" w:eastAsia="zh-CN"/>
        </w:rPr>
        <w:t xml:space="preserve">  2.业务装备经费项目自评综述：</w:t>
      </w:r>
      <w:r>
        <w:rPr>
          <w:rFonts w:hint="eastAsia" w:ascii="仿宋_GB2312" w:hAnsi="仿宋_GB2312" w:eastAsia="仿宋_GB2312" w:cs="仿宋_GB2312"/>
          <w:kern w:val="0"/>
          <w:sz w:val="32"/>
          <w:szCs w:val="32"/>
          <w:lang w:val="en-US" w:eastAsia="zh-CN"/>
        </w:rPr>
        <w:t>根据年初设定的绩效目标，项目自评得分100分。全年预算数为51.04万元，执行数为51.04万元，完成预算的100%。项目绩效目标完成情况：为提高和满足检察工作，加强科技强检推进检察信息化建设，提高检察工作科技含量。我院合理合法运用项目资金进行各项检察业务装备的采购，严格按照《中华人民共和国政府采购法》，公开招、投标合法进行采购活动，采购验收合格率＝100%，采购设备及时到位率＝100%，采购设备使用率＝100%，有效提高检察办案业务工作效率，发现的主要问题及原因：资金管理使用存在问题，支出进度较慢。下一步改进措施：下一步将根据年初预算做好本年度业务装备经费的各项采购任务，做到依法依规支出，合法合规采购，严格执行《中华人民共和国预算法》《中华人民共和国会计法》、《中华人民共和国政府采购法》依法公开透明高效完成年度资金使用和采购活动。</w:t>
      </w:r>
      <w:r>
        <w:rPr>
          <w:rFonts w:ascii="仿宋_GB2312" w:hAnsi="仿宋_GB2312" w:eastAsia="仿宋_GB2312" w:cs="仿宋_GB2312"/>
          <w:color w:val="1200FF"/>
          <w:kern w:val="0"/>
          <w:sz w:val="32"/>
          <w:szCs w:val="32"/>
          <w:u w:val="none" w:color="auto"/>
        </w:rPr>
        <w:t> </w:t>
      </w:r>
    </w:p>
    <w:tbl>
      <w:tblPr>
        <w:tblW w:w="877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607"/>
        <w:gridCol w:w="608"/>
        <w:gridCol w:w="637"/>
        <w:gridCol w:w="666"/>
        <w:gridCol w:w="608"/>
        <w:gridCol w:w="608"/>
        <w:gridCol w:w="622"/>
        <w:gridCol w:w="756"/>
        <w:gridCol w:w="640"/>
        <w:gridCol w:w="637"/>
        <w:gridCol w:w="1035"/>
        <w:gridCol w:w="1350"/>
      </w:tblGrid>
      <w:tr w14:paraId="283D6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8774" w:type="dxa"/>
            <w:gridSpan w:val="12"/>
            <w:tcBorders>
              <w:top w:val="single" w:color="000000" w:sz="4" w:space="0"/>
              <w:left w:val="single" w:color="000000" w:sz="4" w:space="0"/>
              <w:bottom w:val="single" w:color="000000" w:sz="4" w:space="0"/>
              <w:right w:val="single" w:color="000000" w:sz="4" w:space="0"/>
            </w:tcBorders>
            <w:shd w:val="clear"/>
            <w:vAlign w:val="center"/>
          </w:tcPr>
          <w:p w14:paraId="2E306D06">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项目支出绩效自评表</w:t>
            </w:r>
            <w:r>
              <w:rPr>
                <w:rFonts w:hint="eastAsia" w:ascii="宋体" w:hAnsi="宋体" w:eastAsia="宋体" w:cs="宋体"/>
                <w:b/>
                <w:bCs/>
                <w:i w:val="0"/>
                <w:iCs w:val="0"/>
                <w:color w:val="000000"/>
                <w:kern w:val="0"/>
                <w:sz w:val="40"/>
                <w:szCs w:val="40"/>
                <w:u w:val="none"/>
                <w:bdr w:val="none" w:color="auto" w:sz="0" w:space="0"/>
                <w:lang w:val="en-US" w:eastAsia="zh-CN" w:bidi="ar"/>
              </w:rPr>
              <w:br w:type="textWrapping"/>
            </w:r>
            <w:r>
              <w:rPr>
                <w:rFonts w:hint="eastAsia" w:ascii="宋体" w:hAnsi="宋体" w:cs="宋体"/>
                <w:b/>
                <w:bCs/>
                <w:i w:val="0"/>
                <w:iCs w:val="0"/>
                <w:color w:val="000000"/>
                <w:kern w:val="0"/>
                <w:sz w:val="40"/>
                <w:szCs w:val="40"/>
                <w:u w:val="none"/>
                <w:bdr w:val="none" w:color="auto" w:sz="0" w:space="0"/>
                <w:lang w:val="en-US" w:eastAsia="zh-CN" w:bidi="ar"/>
              </w:rPr>
              <w:t>（</w:t>
            </w:r>
            <w:r>
              <w:rPr>
                <w:rFonts w:hint="eastAsia" w:ascii="宋体" w:hAnsi="宋体" w:eastAsia="宋体" w:cs="宋体"/>
                <w:b/>
                <w:bCs/>
                <w:i w:val="0"/>
                <w:iCs w:val="0"/>
                <w:color w:val="000000"/>
                <w:kern w:val="0"/>
                <w:sz w:val="40"/>
                <w:szCs w:val="40"/>
                <w:u w:val="none"/>
                <w:bdr w:val="none" w:color="auto" w:sz="0" w:space="0"/>
                <w:lang w:val="en-US" w:eastAsia="zh-CN" w:bidi="ar"/>
              </w:rPr>
              <w:t>2024年度）</w:t>
            </w:r>
          </w:p>
        </w:tc>
      </w:tr>
      <w:tr w14:paraId="65384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1215" w:type="dxa"/>
            <w:gridSpan w:val="2"/>
            <w:tcBorders>
              <w:top w:val="single" w:color="000000" w:sz="4" w:space="0"/>
              <w:left w:val="single" w:color="000000" w:sz="4" w:space="0"/>
              <w:bottom w:val="single" w:color="000000" w:sz="4" w:space="0"/>
              <w:right w:val="single" w:color="000000" w:sz="4" w:space="0"/>
            </w:tcBorders>
            <w:shd w:val="clear"/>
            <w:vAlign w:val="center"/>
          </w:tcPr>
          <w:p w14:paraId="55B9327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7559" w:type="dxa"/>
            <w:gridSpan w:val="10"/>
            <w:tcBorders>
              <w:top w:val="single" w:color="000000" w:sz="4" w:space="0"/>
              <w:left w:val="single" w:color="000000" w:sz="4" w:space="0"/>
              <w:bottom w:val="single" w:color="000000" w:sz="4" w:space="0"/>
              <w:right w:val="single" w:color="000000" w:sz="4" w:space="0"/>
            </w:tcBorders>
            <w:shd w:val="clear"/>
            <w:vAlign w:val="center"/>
          </w:tcPr>
          <w:p w14:paraId="3A81B9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业务装备经费</w:t>
            </w:r>
          </w:p>
        </w:tc>
      </w:tr>
      <w:tr w14:paraId="54034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1215" w:type="dxa"/>
            <w:gridSpan w:val="2"/>
            <w:tcBorders>
              <w:top w:val="single" w:color="000000" w:sz="4" w:space="0"/>
              <w:left w:val="single" w:color="000000" w:sz="4" w:space="0"/>
              <w:bottom w:val="single" w:color="000000" w:sz="4" w:space="0"/>
              <w:right w:val="single" w:color="000000" w:sz="4" w:space="0"/>
            </w:tcBorders>
            <w:shd w:val="clear"/>
            <w:vAlign w:val="center"/>
          </w:tcPr>
          <w:p w14:paraId="0DED1BB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2519" w:type="dxa"/>
            <w:gridSpan w:val="4"/>
            <w:tcBorders>
              <w:top w:val="single" w:color="000000" w:sz="4" w:space="0"/>
              <w:left w:val="single" w:color="000000" w:sz="4" w:space="0"/>
              <w:bottom w:val="single" w:color="000000" w:sz="4" w:space="0"/>
              <w:right w:val="single" w:color="000000" w:sz="4" w:space="0"/>
            </w:tcBorders>
            <w:shd w:val="clear"/>
            <w:vAlign w:val="center"/>
          </w:tcPr>
          <w:p w14:paraId="2388BF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多伦县人民检察院部门</w:t>
            </w:r>
          </w:p>
        </w:tc>
        <w:tc>
          <w:tcPr>
            <w:tcW w:w="1378" w:type="dxa"/>
            <w:gridSpan w:val="2"/>
            <w:tcBorders>
              <w:top w:val="single" w:color="000000" w:sz="4" w:space="0"/>
              <w:left w:val="single" w:color="000000" w:sz="4" w:space="0"/>
              <w:bottom w:val="single" w:color="000000" w:sz="4" w:space="0"/>
              <w:right w:val="single" w:color="000000" w:sz="4" w:space="0"/>
            </w:tcBorders>
            <w:shd w:val="clear"/>
            <w:vAlign w:val="center"/>
          </w:tcPr>
          <w:p w14:paraId="5BFCC5E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3662" w:type="dxa"/>
            <w:gridSpan w:val="4"/>
            <w:tcBorders>
              <w:top w:val="single" w:color="000000" w:sz="4" w:space="0"/>
              <w:left w:val="single" w:color="000000" w:sz="4" w:space="0"/>
              <w:bottom w:val="single" w:color="000000" w:sz="4" w:space="0"/>
              <w:right w:val="single" w:color="000000" w:sz="4" w:space="0"/>
            </w:tcBorders>
            <w:shd w:val="clear"/>
            <w:vAlign w:val="center"/>
          </w:tcPr>
          <w:p w14:paraId="71B4272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多伦县人民检察院</w:t>
            </w:r>
          </w:p>
        </w:tc>
      </w:tr>
      <w:tr w14:paraId="62085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1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06E1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14:paraId="2B800F7C">
            <w:pP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vAlign w:val="center"/>
          </w:tcPr>
          <w:p w14:paraId="5E9683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1216" w:type="dxa"/>
            <w:gridSpan w:val="2"/>
            <w:tcBorders>
              <w:top w:val="single" w:color="000000" w:sz="4" w:space="0"/>
              <w:left w:val="single" w:color="000000" w:sz="4" w:space="0"/>
              <w:bottom w:val="single" w:color="000000" w:sz="4" w:space="0"/>
              <w:right w:val="single" w:color="000000" w:sz="4" w:space="0"/>
            </w:tcBorders>
            <w:shd w:val="clear"/>
            <w:vAlign w:val="center"/>
          </w:tcPr>
          <w:p w14:paraId="20C4F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1378" w:type="dxa"/>
            <w:gridSpan w:val="2"/>
            <w:tcBorders>
              <w:top w:val="single" w:color="000000" w:sz="4" w:space="0"/>
              <w:left w:val="single" w:color="000000" w:sz="4" w:space="0"/>
              <w:bottom w:val="single" w:color="000000" w:sz="4" w:space="0"/>
              <w:right w:val="single" w:color="000000" w:sz="4" w:space="0"/>
            </w:tcBorders>
            <w:shd w:val="clear"/>
            <w:vAlign w:val="center"/>
          </w:tcPr>
          <w:p w14:paraId="4E1DA8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14:paraId="2DB1AB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72" w:type="dxa"/>
            <w:gridSpan w:val="2"/>
            <w:tcBorders>
              <w:top w:val="single" w:color="000000" w:sz="4" w:space="0"/>
              <w:left w:val="single" w:color="000000" w:sz="4" w:space="0"/>
              <w:bottom w:val="single" w:color="000000" w:sz="4" w:space="0"/>
              <w:right w:val="single" w:color="000000" w:sz="4" w:space="0"/>
            </w:tcBorders>
            <w:shd w:val="clear"/>
            <w:vAlign w:val="center"/>
          </w:tcPr>
          <w:p w14:paraId="36F531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1350" w:type="dxa"/>
            <w:tcBorders>
              <w:top w:val="single" w:color="000000" w:sz="4" w:space="0"/>
              <w:left w:val="single" w:color="000000" w:sz="4" w:space="0"/>
              <w:bottom w:val="single" w:color="000000" w:sz="4" w:space="0"/>
              <w:right w:val="single" w:color="000000" w:sz="4" w:space="0"/>
            </w:tcBorders>
            <w:shd w:val="clear"/>
            <w:vAlign w:val="center"/>
          </w:tcPr>
          <w:p w14:paraId="764DF9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4C86B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1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01DCEE8">
            <w:pPr>
              <w:jc w:val="center"/>
              <w:rPr>
                <w:rFonts w:hint="eastAsia" w:ascii="宋体" w:hAnsi="宋体" w:eastAsia="宋体" w:cs="宋体"/>
                <w:i w:val="0"/>
                <w:iCs w:val="0"/>
                <w:color w:val="000000"/>
                <w:sz w:val="18"/>
                <w:szCs w:val="18"/>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14:paraId="572CE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666" w:type="dxa"/>
            <w:tcBorders>
              <w:top w:val="single" w:color="000000" w:sz="4" w:space="0"/>
              <w:left w:val="single" w:color="000000" w:sz="4" w:space="0"/>
              <w:bottom w:val="single" w:color="000000" w:sz="4" w:space="0"/>
              <w:right w:val="single" w:color="000000" w:sz="4" w:space="0"/>
            </w:tcBorders>
            <w:shd w:val="clear"/>
            <w:vAlign w:val="center"/>
          </w:tcPr>
          <w:p w14:paraId="55186B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51.04</w:t>
            </w:r>
          </w:p>
        </w:tc>
        <w:tc>
          <w:tcPr>
            <w:tcW w:w="1216" w:type="dxa"/>
            <w:gridSpan w:val="2"/>
            <w:tcBorders>
              <w:top w:val="single" w:color="000000" w:sz="4" w:space="0"/>
              <w:left w:val="single" w:color="000000" w:sz="4" w:space="0"/>
              <w:bottom w:val="single" w:color="000000" w:sz="4" w:space="0"/>
              <w:right w:val="single" w:color="000000" w:sz="4" w:space="0"/>
            </w:tcBorders>
            <w:shd w:val="clear"/>
            <w:vAlign w:val="center"/>
          </w:tcPr>
          <w:p w14:paraId="751F50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51.04</w:t>
            </w:r>
          </w:p>
        </w:tc>
        <w:tc>
          <w:tcPr>
            <w:tcW w:w="1378" w:type="dxa"/>
            <w:gridSpan w:val="2"/>
            <w:tcBorders>
              <w:top w:val="single" w:color="000000" w:sz="4" w:space="0"/>
              <w:left w:val="single" w:color="000000" w:sz="4" w:space="0"/>
              <w:bottom w:val="single" w:color="000000" w:sz="4" w:space="0"/>
              <w:right w:val="single" w:color="000000" w:sz="4" w:space="0"/>
            </w:tcBorders>
            <w:shd w:val="clear"/>
            <w:vAlign w:val="center"/>
          </w:tcPr>
          <w:p w14:paraId="7EC18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51.04</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14:paraId="2D537E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672" w:type="dxa"/>
            <w:gridSpan w:val="2"/>
            <w:tcBorders>
              <w:top w:val="single" w:color="000000" w:sz="4" w:space="0"/>
              <w:left w:val="single" w:color="000000" w:sz="4" w:space="0"/>
              <w:bottom w:val="single" w:color="000000" w:sz="4" w:space="0"/>
              <w:right w:val="single" w:color="000000" w:sz="4" w:space="0"/>
            </w:tcBorders>
            <w:shd w:val="clear"/>
            <w:vAlign w:val="center"/>
          </w:tcPr>
          <w:p w14:paraId="02924E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350" w:type="dxa"/>
            <w:tcBorders>
              <w:top w:val="single" w:color="000000" w:sz="4" w:space="0"/>
              <w:left w:val="single" w:color="000000" w:sz="4" w:space="0"/>
              <w:bottom w:val="single" w:color="000000" w:sz="4" w:space="0"/>
              <w:right w:val="single" w:color="000000" w:sz="4" w:space="0"/>
            </w:tcBorders>
            <w:shd w:val="clear"/>
            <w:vAlign w:val="center"/>
          </w:tcPr>
          <w:p w14:paraId="3790AF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14:paraId="198E6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1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70F6E8C">
            <w:pPr>
              <w:jc w:val="center"/>
              <w:rPr>
                <w:rFonts w:hint="eastAsia" w:ascii="宋体" w:hAnsi="宋体" w:eastAsia="宋体" w:cs="宋体"/>
                <w:i w:val="0"/>
                <w:iCs w:val="0"/>
                <w:color w:val="000000"/>
                <w:sz w:val="18"/>
                <w:szCs w:val="18"/>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14:paraId="2CFA9A3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其中：财政拨款</w:t>
            </w:r>
          </w:p>
        </w:tc>
        <w:tc>
          <w:tcPr>
            <w:tcW w:w="666" w:type="dxa"/>
            <w:tcBorders>
              <w:top w:val="single" w:color="000000" w:sz="4" w:space="0"/>
              <w:left w:val="single" w:color="000000" w:sz="4" w:space="0"/>
              <w:bottom w:val="single" w:color="000000" w:sz="4" w:space="0"/>
              <w:right w:val="single" w:color="000000" w:sz="4" w:space="0"/>
            </w:tcBorders>
            <w:shd w:val="clear"/>
            <w:vAlign w:val="center"/>
          </w:tcPr>
          <w:p w14:paraId="549BC6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51.04</w:t>
            </w:r>
          </w:p>
        </w:tc>
        <w:tc>
          <w:tcPr>
            <w:tcW w:w="1216" w:type="dxa"/>
            <w:gridSpan w:val="2"/>
            <w:tcBorders>
              <w:top w:val="single" w:color="000000" w:sz="4" w:space="0"/>
              <w:left w:val="single" w:color="000000" w:sz="4" w:space="0"/>
              <w:bottom w:val="single" w:color="000000" w:sz="4" w:space="0"/>
              <w:right w:val="single" w:color="000000" w:sz="4" w:space="0"/>
            </w:tcBorders>
            <w:shd w:val="clear"/>
            <w:vAlign w:val="center"/>
          </w:tcPr>
          <w:p w14:paraId="43B686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51.04</w:t>
            </w:r>
          </w:p>
        </w:tc>
        <w:tc>
          <w:tcPr>
            <w:tcW w:w="1378" w:type="dxa"/>
            <w:gridSpan w:val="2"/>
            <w:tcBorders>
              <w:top w:val="single" w:color="000000" w:sz="4" w:space="0"/>
              <w:left w:val="single" w:color="000000" w:sz="4" w:space="0"/>
              <w:bottom w:val="single" w:color="000000" w:sz="4" w:space="0"/>
              <w:right w:val="single" w:color="000000" w:sz="4" w:space="0"/>
            </w:tcBorders>
            <w:shd w:val="clear"/>
            <w:vAlign w:val="center"/>
          </w:tcPr>
          <w:p w14:paraId="101AC7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51.04</w:t>
            </w:r>
          </w:p>
        </w:tc>
        <w:tc>
          <w:tcPr>
            <w:tcW w:w="640" w:type="dxa"/>
            <w:tcBorders>
              <w:top w:val="single" w:color="000000" w:sz="4" w:space="0"/>
              <w:left w:val="single" w:color="000000" w:sz="4" w:space="0"/>
              <w:bottom w:val="single" w:color="000000" w:sz="4" w:space="0"/>
              <w:right w:val="single" w:color="000000" w:sz="4" w:space="0"/>
            </w:tcBorders>
            <w:shd w:val="clear"/>
            <w:noWrap/>
            <w:vAlign w:val="center"/>
          </w:tcPr>
          <w:p w14:paraId="76563D96">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1672" w:type="dxa"/>
            <w:gridSpan w:val="2"/>
            <w:tcBorders>
              <w:top w:val="single" w:color="000000" w:sz="4" w:space="0"/>
              <w:left w:val="single" w:color="000000" w:sz="4" w:space="0"/>
              <w:bottom w:val="single" w:color="000000" w:sz="4" w:space="0"/>
              <w:right w:val="single" w:color="000000" w:sz="4" w:space="0"/>
            </w:tcBorders>
            <w:shd w:val="clear"/>
            <w:vAlign w:val="center"/>
          </w:tcPr>
          <w:p w14:paraId="061B2A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350" w:type="dxa"/>
            <w:tcBorders>
              <w:top w:val="single" w:color="000000" w:sz="4" w:space="0"/>
              <w:left w:val="single" w:color="000000" w:sz="4" w:space="0"/>
              <w:bottom w:val="single" w:color="000000" w:sz="4" w:space="0"/>
              <w:right w:val="single" w:color="000000" w:sz="4" w:space="0"/>
            </w:tcBorders>
            <w:shd w:val="clear"/>
            <w:noWrap/>
            <w:vAlign w:val="center"/>
          </w:tcPr>
          <w:p w14:paraId="109FC95D">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5D31D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1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28D17B5">
            <w:pPr>
              <w:jc w:val="center"/>
              <w:rPr>
                <w:rFonts w:hint="eastAsia" w:ascii="宋体" w:hAnsi="宋体" w:eastAsia="宋体" w:cs="宋体"/>
                <w:i w:val="0"/>
                <w:iCs w:val="0"/>
                <w:color w:val="000000"/>
                <w:sz w:val="18"/>
                <w:szCs w:val="18"/>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14:paraId="473F58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上年结转资金</w:t>
            </w:r>
          </w:p>
        </w:tc>
        <w:tc>
          <w:tcPr>
            <w:tcW w:w="666" w:type="dxa"/>
            <w:tcBorders>
              <w:top w:val="single" w:color="000000" w:sz="4" w:space="0"/>
              <w:left w:val="single" w:color="000000" w:sz="4" w:space="0"/>
              <w:bottom w:val="single" w:color="000000" w:sz="4" w:space="0"/>
              <w:right w:val="single" w:color="000000" w:sz="4" w:space="0"/>
            </w:tcBorders>
            <w:shd w:val="clear"/>
            <w:vAlign w:val="center"/>
          </w:tcPr>
          <w:p w14:paraId="246EB561">
            <w:pPr>
              <w:rPr>
                <w:rFonts w:hint="eastAsia" w:ascii="宋体" w:hAnsi="宋体" w:eastAsia="宋体" w:cs="宋体"/>
                <w:i w:val="0"/>
                <w:iCs w:val="0"/>
                <w:color w:val="000000"/>
                <w:sz w:val="18"/>
                <w:szCs w:val="18"/>
                <w:u w:val="none"/>
              </w:rPr>
            </w:pPr>
          </w:p>
        </w:tc>
        <w:tc>
          <w:tcPr>
            <w:tcW w:w="1216" w:type="dxa"/>
            <w:gridSpan w:val="2"/>
            <w:tcBorders>
              <w:top w:val="single" w:color="000000" w:sz="4" w:space="0"/>
              <w:left w:val="single" w:color="000000" w:sz="4" w:space="0"/>
              <w:bottom w:val="single" w:color="000000" w:sz="4" w:space="0"/>
              <w:right w:val="single" w:color="000000" w:sz="4" w:space="0"/>
            </w:tcBorders>
            <w:shd w:val="clear"/>
            <w:vAlign w:val="center"/>
          </w:tcPr>
          <w:p w14:paraId="2B38D168">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vAlign w:val="center"/>
          </w:tcPr>
          <w:p w14:paraId="73522AE6">
            <w:pPr>
              <w:jc w:val="center"/>
              <w:rPr>
                <w:rFonts w:hint="eastAsia" w:ascii="宋体" w:hAnsi="宋体" w:eastAsia="宋体" w:cs="宋体"/>
                <w:i w:val="0"/>
                <w:iCs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noWrap/>
            <w:vAlign w:val="center"/>
          </w:tcPr>
          <w:p w14:paraId="5A8734B7">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1672" w:type="dxa"/>
            <w:gridSpan w:val="2"/>
            <w:tcBorders>
              <w:top w:val="single" w:color="000000" w:sz="4" w:space="0"/>
              <w:left w:val="single" w:color="000000" w:sz="4" w:space="0"/>
              <w:bottom w:val="single" w:color="000000" w:sz="4" w:space="0"/>
              <w:right w:val="single" w:color="000000" w:sz="4" w:space="0"/>
            </w:tcBorders>
            <w:shd w:val="clear"/>
            <w:vAlign w:val="center"/>
          </w:tcPr>
          <w:p w14:paraId="4533DBBA">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noWrap/>
            <w:vAlign w:val="center"/>
          </w:tcPr>
          <w:p w14:paraId="13193824">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66168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1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1E437CA">
            <w:pPr>
              <w:jc w:val="center"/>
              <w:rPr>
                <w:rFonts w:hint="eastAsia" w:ascii="宋体" w:hAnsi="宋体" w:eastAsia="宋体" w:cs="宋体"/>
                <w:i w:val="0"/>
                <w:iCs w:val="0"/>
                <w:color w:val="000000"/>
                <w:sz w:val="18"/>
                <w:szCs w:val="18"/>
                <w:u w:val="none"/>
              </w:rPr>
            </w:pPr>
          </w:p>
        </w:tc>
        <w:tc>
          <w:tcPr>
            <w:tcW w:w="637" w:type="dxa"/>
            <w:tcBorders>
              <w:top w:val="single" w:color="000000" w:sz="4" w:space="0"/>
              <w:left w:val="single" w:color="000000" w:sz="4" w:space="0"/>
              <w:bottom w:val="single" w:color="000000" w:sz="4" w:space="0"/>
              <w:right w:val="single" w:color="000000" w:sz="4" w:space="0"/>
            </w:tcBorders>
            <w:shd w:val="clear"/>
            <w:vAlign w:val="center"/>
          </w:tcPr>
          <w:p w14:paraId="2BD20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其他资金</w:t>
            </w:r>
          </w:p>
        </w:tc>
        <w:tc>
          <w:tcPr>
            <w:tcW w:w="666" w:type="dxa"/>
            <w:tcBorders>
              <w:top w:val="single" w:color="000000" w:sz="4" w:space="0"/>
              <w:left w:val="single" w:color="000000" w:sz="4" w:space="0"/>
              <w:bottom w:val="single" w:color="000000" w:sz="4" w:space="0"/>
              <w:right w:val="single" w:color="000000" w:sz="4" w:space="0"/>
            </w:tcBorders>
            <w:shd w:val="clear"/>
            <w:vAlign w:val="center"/>
          </w:tcPr>
          <w:p w14:paraId="577F73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1216" w:type="dxa"/>
            <w:gridSpan w:val="2"/>
            <w:tcBorders>
              <w:top w:val="single" w:color="000000" w:sz="4" w:space="0"/>
              <w:left w:val="single" w:color="000000" w:sz="4" w:space="0"/>
              <w:bottom w:val="single" w:color="000000" w:sz="4" w:space="0"/>
              <w:right w:val="single" w:color="000000" w:sz="4" w:space="0"/>
            </w:tcBorders>
            <w:shd w:val="clear"/>
            <w:vAlign w:val="center"/>
          </w:tcPr>
          <w:p w14:paraId="08676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1378" w:type="dxa"/>
            <w:gridSpan w:val="2"/>
            <w:tcBorders>
              <w:top w:val="single" w:color="000000" w:sz="4" w:space="0"/>
              <w:left w:val="single" w:color="000000" w:sz="4" w:space="0"/>
              <w:bottom w:val="single" w:color="000000" w:sz="4" w:space="0"/>
              <w:right w:val="single" w:color="000000" w:sz="4" w:space="0"/>
            </w:tcBorders>
            <w:shd w:val="clear"/>
            <w:vAlign w:val="center"/>
          </w:tcPr>
          <w:p w14:paraId="6B8747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640" w:type="dxa"/>
            <w:tcBorders>
              <w:top w:val="single" w:color="000000" w:sz="4" w:space="0"/>
              <w:left w:val="single" w:color="000000" w:sz="4" w:space="0"/>
              <w:bottom w:val="single" w:color="000000" w:sz="4" w:space="0"/>
              <w:right w:val="single" w:color="000000" w:sz="4" w:space="0"/>
            </w:tcBorders>
            <w:shd w:val="clear"/>
            <w:noWrap/>
            <w:vAlign w:val="center"/>
          </w:tcPr>
          <w:p w14:paraId="42DF53A7">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1672" w:type="dxa"/>
            <w:gridSpan w:val="2"/>
            <w:tcBorders>
              <w:top w:val="single" w:color="000000" w:sz="4" w:space="0"/>
              <w:left w:val="single" w:color="000000" w:sz="4" w:space="0"/>
              <w:bottom w:val="single" w:color="000000" w:sz="4" w:space="0"/>
              <w:right w:val="single" w:color="000000" w:sz="4" w:space="0"/>
            </w:tcBorders>
            <w:shd w:val="clear"/>
            <w:vAlign w:val="center"/>
          </w:tcPr>
          <w:p w14:paraId="61724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1350" w:type="dxa"/>
            <w:tcBorders>
              <w:top w:val="single" w:color="000000" w:sz="4" w:space="0"/>
              <w:left w:val="single" w:color="000000" w:sz="4" w:space="0"/>
              <w:bottom w:val="single" w:color="000000" w:sz="4" w:space="0"/>
              <w:right w:val="single" w:color="000000" w:sz="4" w:space="0"/>
            </w:tcBorders>
            <w:shd w:val="clear"/>
            <w:noWrap/>
            <w:vAlign w:val="center"/>
          </w:tcPr>
          <w:p w14:paraId="4A917AC5">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00E94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121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3CF408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3141" w:type="dxa"/>
            <w:gridSpan w:val="5"/>
            <w:tcBorders>
              <w:top w:val="single" w:color="000000" w:sz="4" w:space="0"/>
              <w:left w:val="single" w:color="000000" w:sz="4" w:space="0"/>
              <w:bottom w:val="single" w:color="000000" w:sz="4" w:space="0"/>
              <w:right w:val="single" w:color="000000" w:sz="4" w:space="0"/>
            </w:tcBorders>
            <w:shd w:val="clear"/>
            <w:vAlign w:val="center"/>
          </w:tcPr>
          <w:p w14:paraId="169256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4418" w:type="dxa"/>
            <w:gridSpan w:val="5"/>
            <w:tcBorders>
              <w:top w:val="single" w:color="000000" w:sz="4" w:space="0"/>
              <w:left w:val="single" w:color="000000" w:sz="4" w:space="0"/>
              <w:bottom w:val="single" w:color="000000" w:sz="4" w:space="0"/>
              <w:right w:val="single" w:color="000000" w:sz="4" w:space="0"/>
            </w:tcBorders>
            <w:shd w:val="clear"/>
            <w:vAlign w:val="center"/>
          </w:tcPr>
          <w:p w14:paraId="6A674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0DBC0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121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09733AE">
            <w:pPr>
              <w:jc w:val="center"/>
              <w:rPr>
                <w:rFonts w:hint="eastAsia" w:ascii="宋体" w:hAnsi="宋体" w:eastAsia="宋体" w:cs="宋体"/>
                <w:i w:val="0"/>
                <w:iCs w:val="0"/>
                <w:color w:val="000000"/>
                <w:sz w:val="18"/>
                <w:szCs w:val="18"/>
                <w:u w:val="none"/>
              </w:rPr>
            </w:pPr>
          </w:p>
        </w:tc>
        <w:tc>
          <w:tcPr>
            <w:tcW w:w="3141" w:type="dxa"/>
            <w:gridSpan w:val="5"/>
            <w:tcBorders>
              <w:top w:val="single" w:color="000000" w:sz="4" w:space="0"/>
              <w:left w:val="single" w:color="000000" w:sz="4" w:space="0"/>
              <w:bottom w:val="single" w:color="000000" w:sz="4" w:space="0"/>
              <w:right w:val="single" w:color="000000" w:sz="4" w:space="0"/>
            </w:tcBorders>
            <w:shd w:val="clear"/>
            <w:vAlign w:val="center"/>
          </w:tcPr>
          <w:p w14:paraId="6154C8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保障单位日常运转，提高预算编制质量，严格执行预算</w:t>
            </w:r>
          </w:p>
        </w:tc>
        <w:tc>
          <w:tcPr>
            <w:tcW w:w="4418" w:type="dxa"/>
            <w:gridSpan w:val="5"/>
            <w:tcBorders>
              <w:top w:val="single" w:color="000000" w:sz="4" w:space="0"/>
              <w:left w:val="single" w:color="000000" w:sz="4" w:space="0"/>
              <w:bottom w:val="single" w:color="000000" w:sz="4" w:space="0"/>
              <w:right w:val="single" w:color="000000" w:sz="4" w:space="0"/>
            </w:tcBorders>
            <w:shd w:val="clear"/>
            <w:vAlign w:val="center"/>
          </w:tcPr>
          <w:p w14:paraId="74D2E9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预期目标：提高检察业务装备质量，保障检察职能。绩效目标实际完成情况：数量指标、质量指标、实效指标等基本达到预期效果，进一步促进了我院检察工作再上新台阶。</w:t>
            </w:r>
          </w:p>
        </w:tc>
      </w:tr>
      <w:tr w14:paraId="3DCB0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0" w:hRule="atLeast"/>
        </w:trPr>
        <w:tc>
          <w:tcPr>
            <w:tcW w:w="607" w:type="dxa"/>
            <w:tcBorders>
              <w:top w:val="single" w:color="000000" w:sz="4" w:space="0"/>
              <w:left w:val="single" w:color="000000" w:sz="4" w:space="0"/>
              <w:bottom w:val="single" w:color="000000" w:sz="4" w:space="0"/>
              <w:right w:val="single" w:color="000000" w:sz="4" w:space="0"/>
            </w:tcBorders>
            <w:shd w:val="clear"/>
            <w:vAlign w:val="center"/>
          </w:tcPr>
          <w:p w14:paraId="3E49B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608" w:type="dxa"/>
            <w:tcBorders>
              <w:top w:val="single" w:color="000000" w:sz="4" w:space="0"/>
              <w:left w:val="single" w:color="000000" w:sz="4" w:space="0"/>
              <w:bottom w:val="single" w:color="000000" w:sz="4" w:space="0"/>
              <w:right w:val="single" w:color="000000" w:sz="4" w:space="0"/>
            </w:tcBorders>
            <w:shd w:val="clear"/>
            <w:vAlign w:val="center"/>
          </w:tcPr>
          <w:p w14:paraId="10480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14:paraId="4E2F60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666" w:type="dxa"/>
            <w:tcBorders>
              <w:top w:val="single" w:color="000000" w:sz="4" w:space="0"/>
              <w:left w:val="single" w:color="000000" w:sz="4" w:space="0"/>
              <w:bottom w:val="single" w:color="000000" w:sz="4" w:space="0"/>
              <w:right w:val="single" w:color="000000" w:sz="4" w:space="0"/>
            </w:tcBorders>
            <w:shd w:val="clear"/>
            <w:vAlign w:val="center"/>
          </w:tcPr>
          <w:p w14:paraId="2384A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608" w:type="dxa"/>
            <w:tcBorders>
              <w:top w:val="single" w:color="000000" w:sz="4" w:space="0"/>
              <w:left w:val="single" w:color="000000" w:sz="4" w:space="0"/>
              <w:bottom w:val="single" w:color="000000" w:sz="4" w:space="0"/>
              <w:right w:val="single" w:color="000000" w:sz="4" w:space="0"/>
            </w:tcBorders>
            <w:shd w:val="clear"/>
            <w:vAlign w:val="center"/>
          </w:tcPr>
          <w:p w14:paraId="5FAC78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指标性质</w:t>
            </w:r>
          </w:p>
        </w:tc>
        <w:tc>
          <w:tcPr>
            <w:tcW w:w="608" w:type="dxa"/>
            <w:tcBorders>
              <w:top w:val="single" w:color="000000" w:sz="4" w:space="0"/>
              <w:left w:val="single" w:color="000000" w:sz="4" w:space="0"/>
              <w:bottom w:val="single" w:color="000000" w:sz="4" w:space="0"/>
              <w:right w:val="single" w:color="000000" w:sz="4" w:space="0"/>
            </w:tcBorders>
            <w:shd w:val="clear"/>
            <w:vAlign w:val="center"/>
          </w:tcPr>
          <w:p w14:paraId="734BE0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指标方向</w:t>
            </w:r>
          </w:p>
        </w:tc>
        <w:tc>
          <w:tcPr>
            <w:tcW w:w="622" w:type="dxa"/>
            <w:tcBorders>
              <w:top w:val="single" w:color="000000" w:sz="4" w:space="0"/>
              <w:left w:val="single" w:color="000000" w:sz="4" w:space="0"/>
              <w:bottom w:val="single" w:color="000000" w:sz="4" w:space="0"/>
              <w:right w:val="single" w:color="000000" w:sz="4" w:space="0"/>
            </w:tcBorders>
            <w:shd w:val="clear"/>
            <w:vAlign w:val="center"/>
          </w:tcPr>
          <w:p w14:paraId="451F0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14:paraId="00A0DC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14:paraId="255AD0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计量单位</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14:paraId="77651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035" w:type="dxa"/>
            <w:tcBorders>
              <w:top w:val="single" w:color="000000" w:sz="4" w:space="0"/>
              <w:left w:val="single" w:color="000000" w:sz="4" w:space="0"/>
              <w:bottom w:val="single" w:color="000000" w:sz="4" w:space="0"/>
              <w:right w:val="single" w:color="000000" w:sz="4" w:space="0"/>
            </w:tcBorders>
            <w:shd w:val="clear"/>
            <w:vAlign w:val="center"/>
          </w:tcPr>
          <w:p w14:paraId="6E6C7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350" w:type="dxa"/>
            <w:tcBorders>
              <w:top w:val="single" w:color="000000" w:sz="4" w:space="0"/>
              <w:left w:val="single" w:color="000000" w:sz="4" w:space="0"/>
              <w:bottom w:val="single" w:color="000000" w:sz="4" w:space="0"/>
              <w:right w:val="single" w:color="000000" w:sz="4" w:space="0"/>
            </w:tcBorders>
            <w:shd w:val="clear"/>
            <w:vAlign w:val="center"/>
          </w:tcPr>
          <w:p w14:paraId="1E568B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407D5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07" w:type="dxa"/>
            <w:vMerge w:val="restart"/>
            <w:tcBorders>
              <w:top w:val="single" w:color="000000" w:sz="4" w:space="0"/>
              <w:left w:val="single" w:color="000000" w:sz="4" w:space="0"/>
              <w:bottom w:val="nil"/>
              <w:right w:val="single" w:color="000000" w:sz="4" w:space="0"/>
            </w:tcBorders>
            <w:shd w:val="clear"/>
            <w:vAlign w:val="center"/>
          </w:tcPr>
          <w:p w14:paraId="409B2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608" w:type="dxa"/>
            <w:vMerge w:val="restart"/>
            <w:tcBorders>
              <w:top w:val="single" w:color="000000" w:sz="4" w:space="0"/>
              <w:left w:val="single" w:color="000000" w:sz="4" w:space="0"/>
              <w:bottom w:val="nil"/>
              <w:right w:val="single" w:color="000000" w:sz="4" w:space="0"/>
            </w:tcBorders>
            <w:shd w:val="clear"/>
            <w:vAlign w:val="center"/>
          </w:tcPr>
          <w:p w14:paraId="1041F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637" w:type="dxa"/>
            <w:vMerge w:val="restart"/>
            <w:tcBorders>
              <w:top w:val="single" w:color="000000" w:sz="4" w:space="0"/>
              <w:left w:val="single" w:color="000000" w:sz="4" w:space="0"/>
              <w:bottom w:val="nil"/>
              <w:right w:val="single" w:color="000000" w:sz="4" w:space="0"/>
            </w:tcBorders>
            <w:shd w:val="clear"/>
            <w:vAlign w:val="center"/>
          </w:tcPr>
          <w:p w14:paraId="494386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666" w:type="dxa"/>
            <w:tcBorders>
              <w:top w:val="single" w:color="000000" w:sz="4" w:space="0"/>
              <w:left w:val="single" w:color="000000" w:sz="4" w:space="0"/>
              <w:bottom w:val="nil"/>
              <w:right w:val="single" w:color="000000" w:sz="4" w:space="0"/>
            </w:tcBorders>
            <w:shd w:val="clear"/>
            <w:vAlign w:val="center"/>
          </w:tcPr>
          <w:p w14:paraId="14BF4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足额保障率</w:t>
            </w:r>
          </w:p>
        </w:tc>
        <w:tc>
          <w:tcPr>
            <w:tcW w:w="608" w:type="dxa"/>
            <w:tcBorders>
              <w:top w:val="single" w:color="000000" w:sz="4" w:space="0"/>
              <w:left w:val="single" w:color="000000" w:sz="4" w:space="0"/>
              <w:bottom w:val="nil"/>
              <w:right w:val="single" w:color="000000" w:sz="4" w:space="0"/>
            </w:tcBorders>
            <w:shd w:val="clear"/>
            <w:vAlign w:val="center"/>
          </w:tcPr>
          <w:p w14:paraId="1E8F33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608" w:type="dxa"/>
            <w:tcBorders>
              <w:top w:val="single" w:color="000000" w:sz="4" w:space="0"/>
              <w:left w:val="single" w:color="000000" w:sz="4" w:space="0"/>
              <w:bottom w:val="nil"/>
              <w:right w:val="single" w:color="000000" w:sz="4" w:space="0"/>
            </w:tcBorders>
            <w:shd w:val="clear"/>
            <w:vAlign w:val="center"/>
          </w:tcPr>
          <w:p w14:paraId="4B5C9F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622" w:type="dxa"/>
            <w:tcBorders>
              <w:top w:val="single" w:color="000000" w:sz="4" w:space="0"/>
              <w:left w:val="single" w:color="000000" w:sz="4" w:space="0"/>
              <w:bottom w:val="nil"/>
              <w:right w:val="single" w:color="000000" w:sz="4" w:space="0"/>
            </w:tcBorders>
            <w:shd w:val="clear"/>
            <w:vAlign w:val="center"/>
          </w:tcPr>
          <w:p w14:paraId="44C3B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56" w:type="dxa"/>
            <w:tcBorders>
              <w:top w:val="single" w:color="000000" w:sz="4" w:space="0"/>
              <w:left w:val="single" w:color="000000" w:sz="4" w:space="0"/>
              <w:bottom w:val="nil"/>
              <w:right w:val="single" w:color="000000" w:sz="4" w:space="0"/>
            </w:tcBorders>
            <w:shd w:val="clear"/>
            <w:vAlign w:val="center"/>
          </w:tcPr>
          <w:p w14:paraId="2ED231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640" w:type="dxa"/>
            <w:tcBorders>
              <w:top w:val="single" w:color="000000" w:sz="4" w:space="0"/>
              <w:left w:val="single" w:color="000000" w:sz="4" w:space="0"/>
              <w:bottom w:val="nil"/>
              <w:right w:val="single" w:color="000000" w:sz="4" w:space="0"/>
            </w:tcBorders>
            <w:shd w:val="clear"/>
            <w:vAlign w:val="center"/>
          </w:tcPr>
          <w:p w14:paraId="63D8CD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7" w:type="dxa"/>
            <w:tcBorders>
              <w:top w:val="single" w:color="000000" w:sz="4" w:space="0"/>
              <w:left w:val="single" w:color="000000" w:sz="4" w:space="0"/>
              <w:bottom w:val="nil"/>
              <w:right w:val="single" w:color="000000" w:sz="4" w:space="0"/>
            </w:tcBorders>
            <w:shd w:val="clear"/>
            <w:vAlign w:val="center"/>
          </w:tcPr>
          <w:p w14:paraId="5AF71C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22.5</w:t>
            </w:r>
          </w:p>
        </w:tc>
        <w:tc>
          <w:tcPr>
            <w:tcW w:w="1035" w:type="dxa"/>
            <w:tcBorders>
              <w:top w:val="single" w:color="000000" w:sz="4" w:space="0"/>
              <w:left w:val="single" w:color="000000" w:sz="4" w:space="0"/>
              <w:bottom w:val="nil"/>
              <w:right w:val="single" w:color="000000" w:sz="4" w:space="0"/>
            </w:tcBorders>
            <w:shd w:val="clear"/>
            <w:vAlign w:val="center"/>
          </w:tcPr>
          <w:p w14:paraId="75B2A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22.5</w:t>
            </w:r>
          </w:p>
        </w:tc>
        <w:tc>
          <w:tcPr>
            <w:tcW w:w="1350" w:type="dxa"/>
            <w:tcBorders>
              <w:top w:val="single" w:color="000000" w:sz="4" w:space="0"/>
              <w:left w:val="single" w:color="000000" w:sz="4" w:space="0"/>
              <w:bottom w:val="nil"/>
              <w:right w:val="single" w:color="000000" w:sz="4" w:space="0"/>
            </w:tcBorders>
            <w:shd w:val="clear"/>
            <w:vAlign w:val="center"/>
          </w:tcPr>
          <w:p w14:paraId="5C3055A8">
            <w:pPr>
              <w:jc w:val="center"/>
              <w:rPr>
                <w:rFonts w:hint="eastAsia" w:ascii="宋体" w:hAnsi="宋体" w:eastAsia="宋体" w:cs="宋体"/>
                <w:i w:val="0"/>
                <w:iCs w:val="0"/>
                <w:color w:val="000000"/>
                <w:sz w:val="18"/>
                <w:szCs w:val="18"/>
                <w:u w:val="none"/>
              </w:rPr>
            </w:pPr>
          </w:p>
        </w:tc>
      </w:tr>
      <w:tr w14:paraId="1C42D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07" w:type="dxa"/>
            <w:vMerge w:val="continue"/>
            <w:tcBorders>
              <w:top w:val="single" w:color="000000" w:sz="4" w:space="0"/>
              <w:left w:val="single" w:color="000000" w:sz="4" w:space="0"/>
              <w:bottom w:val="nil"/>
              <w:right w:val="single" w:color="000000" w:sz="4" w:space="0"/>
            </w:tcBorders>
            <w:shd w:val="clear"/>
            <w:vAlign w:val="center"/>
          </w:tcPr>
          <w:p w14:paraId="0B9B670C">
            <w:pPr>
              <w:jc w:val="center"/>
              <w:rPr>
                <w:rFonts w:hint="eastAsia" w:ascii="宋体" w:hAnsi="宋体" w:eastAsia="宋体" w:cs="宋体"/>
                <w:i w:val="0"/>
                <w:iCs w:val="0"/>
                <w:color w:val="000000"/>
                <w:sz w:val="18"/>
                <w:szCs w:val="18"/>
                <w:u w:val="none"/>
              </w:rPr>
            </w:pPr>
          </w:p>
        </w:tc>
        <w:tc>
          <w:tcPr>
            <w:tcW w:w="608" w:type="dxa"/>
            <w:vMerge w:val="continue"/>
            <w:tcBorders>
              <w:top w:val="single" w:color="000000" w:sz="4" w:space="0"/>
              <w:left w:val="single" w:color="000000" w:sz="4" w:space="0"/>
              <w:bottom w:val="nil"/>
              <w:right w:val="single" w:color="000000" w:sz="4" w:space="0"/>
            </w:tcBorders>
            <w:shd w:val="clear"/>
            <w:vAlign w:val="center"/>
          </w:tcPr>
          <w:p w14:paraId="00CAB6FF">
            <w:pPr>
              <w:jc w:val="center"/>
              <w:rPr>
                <w:rFonts w:hint="eastAsia" w:ascii="宋体" w:hAnsi="宋体" w:eastAsia="宋体" w:cs="宋体"/>
                <w:i w:val="0"/>
                <w:iCs w:val="0"/>
                <w:color w:val="000000"/>
                <w:sz w:val="18"/>
                <w:szCs w:val="18"/>
                <w:u w:val="none"/>
              </w:rPr>
            </w:pPr>
          </w:p>
        </w:tc>
        <w:tc>
          <w:tcPr>
            <w:tcW w:w="637" w:type="dxa"/>
            <w:vMerge w:val="continue"/>
            <w:tcBorders>
              <w:top w:val="single" w:color="000000" w:sz="4" w:space="0"/>
              <w:left w:val="single" w:color="000000" w:sz="4" w:space="0"/>
              <w:bottom w:val="nil"/>
              <w:right w:val="single" w:color="000000" w:sz="4" w:space="0"/>
            </w:tcBorders>
            <w:shd w:val="clear"/>
            <w:vAlign w:val="center"/>
          </w:tcPr>
          <w:p w14:paraId="588CB7D1">
            <w:pPr>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nil"/>
              <w:right w:val="single" w:color="000000" w:sz="4" w:space="0"/>
            </w:tcBorders>
            <w:shd w:val="clear"/>
            <w:vAlign w:val="center"/>
          </w:tcPr>
          <w:p w14:paraId="72C217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科目调整次数</w:t>
            </w:r>
          </w:p>
        </w:tc>
        <w:tc>
          <w:tcPr>
            <w:tcW w:w="608" w:type="dxa"/>
            <w:tcBorders>
              <w:top w:val="single" w:color="000000" w:sz="4" w:space="0"/>
              <w:left w:val="single" w:color="000000" w:sz="4" w:space="0"/>
              <w:bottom w:val="nil"/>
              <w:right w:val="single" w:color="000000" w:sz="4" w:space="0"/>
            </w:tcBorders>
            <w:shd w:val="clear"/>
            <w:vAlign w:val="center"/>
          </w:tcPr>
          <w:p w14:paraId="541C1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608" w:type="dxa"/>
            <w:tcBorders>
              <w:top w:val="single" w:color="000000" w:sz="4" w:space="0"/>
              <w:left w:val="single" w:color="000000" w:sz="4" w:space="0"/>
              <w:bottom w:val="nil"/>
              <w:right w:val="single" w:color="000000" w:sz="4" w:space="0"/>
            </w:tcBorders>
            <w:shd w:val="clear"/>
            <w:vAlign w:val="center"/>
          </w:tcPr>
          <w:p w14:paraId="634E8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622" w:type="dxa"/>
            <w:tcBorders>
              <w:top w:val="single" w:color="000000" w:sz="4" w:space="0"/>
              <w:left w:val="single" w:color="000000" w:sz="4" w:space="0"/>
              <w:bottom w:val="nil"/>
              <w:right w:val="single" w:color="000000" w:sz="4" w:space="0"/>
            </w:tcBorders>
            <w:shd w:val="clear"/>
            <w:vAlign w:val="center"/>
          </w:tcPr>
          <w:p w14:paraId="316DD1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756" w:type="dxa"/>
            <w:tcBorders>
              <w:top w:val="single" w:color="000000" w:sz="4" w:space="0"/>
              <w:left w:val="single" w:color="000000" w:sz="4" w:space="0"/>
              <w:bottom w:val="nil"/>
              <w:right w:val="single" w:color="000000" w:sz="4" w:space="0"/>
            </w:tcBorders>
            <w:shd w:val="clear"/>
            <w:vAlign w:val="center"/>
          </w:tcPr>
          <w:p w14:paraId="3EE022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640" w:type="dxa"/>
            <w:tcBorders>
              <w:top w:val="single" w:color="000000" w:sz="4" w:space="0"/>
              <w:left w:val="single" w:color="000000" w:sz="4" w:space="0"/>
              <w:bottom w:val="nil"/>
              <w:right w:val="single" w:color="000000" w:sz="4" w:space="0"/>
            </w:tcBorders>
            <w:shd w:val="clear"/>
            <w:vAlign w:val="center"/>
          </w:tcPr>
          <w:p w14:paraId="1DE27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次</w:t>
            </w:r>
          </w:p>
        </w:tc>
        <w:tc>
          <w:tcPr>
            <w:tcW w:w="637" w:type="dxa"/>
            <w:tcBorders>
              <w:top w:val="single" w:color="000000" w:sz="4" w:space="0"/>
              <w:left w:val="single" w:color="000000" w:sz="4" w:space="0"/>
              <w:bottom w:val="nil"/>
              <w:right w:val="single" w:color="000000" w:sz="4" w:space="0"/>
            </w:tcBorders>
            <w:shd w:val="clear"/>
            <w:vAlign w:val="center"/>
          </w:tcPr>
          <w:p w14:paraId="45E1F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22.5</w:t>
            </w:r>
          </w:p>
        </w:tc>
        <w:tc>
          <w:tcPr>
            <w:tcW w:w="1035" w:type="dxa"/>
            <w:tcBorders>
              <w:top w:val="single" w:color="000000" w:sz="4" w:space="0"/>
              <w:left w:val="single" w:color="000000" w:sz="4" w:space="0"/>
              <w:bottom w:val="nil"/>
              <w:right w:val="single" w:color="000000" w:sz="4" w:space="0"/>
            </w:tcBorders>
            <w:shd w:val="clear"/>
            <w:vAlign w:val="center"/>
          </w:tcPr>
          <w:p w14:paraId="358204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22.5</w:t>
            </w:r>
          </w:p>
        </w:tc>
        <w:tc>
          <w:tcPr>
            <w:tcW w:w="1350" w:type="dxa"/>
            <w:tcBorders>
              <w:top w:val="single" w:color="000000" w:sz="4" w:space="0"/>
              <w:left w:val="single" w:color="000000" w:sz="4" w:space="0"/>
              <w:bottom w:val="nil"/>
              <w:right w:val="single" w:color="000000" w:sz="4" w:space="0"/>
            </w:tcBorders>
            <w:shd w:val="clear"/>
            <w:vAlign w:val="center"/>
          </w:tcPr>
          <w:p w14:paraId="16671524">
            <w:pPr>
              <w:jc w:val="center"/>
              <w:rPr>
                <w:rFonts w:hint="eastAsia" w:ascii="宋体" w:hAnsi="宋体" w:eastAsia="宋体" w:cs="宋体"/>
                <w:i w:val="0"/>
                <w:iCs w:val="0"/>
                <w:color w:val="000000"/>
                <w:sz w:val="18"/>
                <w:szCs w:val="18"/>
                <w:u w:val="none"/>
              </w:rPr>
            </w:pPr>
          </w:p>
        </w:tc>
      </w:tr>
      <w:tr w14:paraId="06A9C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07" w:type="dxa"/>
            <w:vMerge w:val="continue"/>
            <w:tcBorders>
              <w:top w:val="single" w:color="000000" w:sz="4" w:space="0"/>
              <w:left w:val="single" w:color="000000" w:sz="4" w:space="0"/>
              <w:bottom w:val="nil"/>
              <w:right w:val="single" w:color="000000" w:sz="4" w:space="0"/>
            </w:tcBorders>
            <w:shd w:val="clear"/>
            <w:vAlign w:val="center"/>
          </w:tcPr>
          <w:p w14:paraId="3284C593">
            <w:pPr>
              <w:jc w:val="center"/>
              <w:rPr>
                <w:rFonts w:hint="eastAsia" w:ascii="宋体" w:hAnsi="宋体" w:eastAsia="宋体" w:cs="宋体"/>
                <w:i w:val="0"/>
                <w:iCs w:val="0"/>
                <w:color w:val="000000"/>
                <w:sz w:val="18"/>
                <w:szCs w:val="18"/>
                <w:u w:val="none"/>
              </w:rPr>
            </w:pPr>
          </w:p>
        </w:tc>
        <w:tc>
          <w:tcPr>
            <w:tcW w:w="608" w:type="dxa"/>
            <w:vMerge w:val="continue"/>
            <w:tcBorders>
              <w:top w:val="single" w:color="000000" w:sz="4" w:space="0"/>
              <w:left w:val="single" w:color="000000" w:sz="4" w:space="0"/>
              <w:bottom w:val="nil"/>
              <w:right w:val="single" w:color="000000" w:sz="4" w:space="0"/>
            </w:tcBorders>
            <w:shd w:val="clear"/>
            <w:vAlign w:val="center"/>
          </w:tcPr>
          <w:p w14:paraId="42C2FD1A">
            <w:pPr>
              <w:jc w:val="center"/>
              <w:rPr>
                <w:rFonts w:hint="eastAsia" w:ascii="宋体" w:hAnsi="宋体" w:eastAsia="宋体" w:cs="宋体"/>
                <w:i w:val="0"/>
                <w:iCs w:val="0"/>
                <w:color w:val="000000"/>
                <w:sz w:val="18"/>
                <w:szCs w:val="18"/>
                <w:u w:val="none"/>
              </w:rPr>
            </w:pPr>
          </w:p>
        </w:tc>
        <w:tc>
          <w:tcPr>
            <w:tcW w:w="637" w:type="dxa"/>
            <w:tcBorders>
              <w:top w:val="single" w:color="000000" w:sz="4" w:space="0"/>
              <w:left w:val="single" w:color="000000" w:sz="4" w:space="0"/>
              <w:bottom w:val="nil"/>
              <w:right w:val="single" w:color="000000" w:sz="4" w:space="0"/>
            </w:tcBorders>
            <w:shd w:val="clear"/>
            <w:vAlign w:val="center"/>
          </w:tcPr>
          <w:p w14:paraId="5E750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666" w:type="dxa"/>
            <w:tcBorders>
              <w:top w:val="single" w:color="000000" w:sz="4" w:space="0"/>
              <w:left w:val="single" w:color="000000" w:sz="4" w:space="0"/>
              <w:bottom w:val="nil"/>
              <w:right w:val="single" w:color="000000" w:sz="4" w:space="0"/>
            </w:tcBorders>
            <w:shd w:val="clear"/>
            <w:vAlign w:val="center"/>
          </w:tcPr>
          <w:p w14:paraId="27D551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发放及时率</w:t>
            </w:r>
          </w:p>
        </w:tc>
        <w:tc>
          <w:tcPr>
            <w:tcW w:w="608" w:type="dxa"/>
            <w:tcBorders>
              <w:top w:val="single" w:color="000000" w:sz="4" w:space="0"/>
              <w:left w:val="single" w:color="000000" w:sz="4" w:space="0"/>
              <w:bottom w:val="nil"/>
              <w:right w:val="single" w:color="000000" w:sz="4" w:space="0"/>
            </w:tcBorders>
            <w:shd w:val="clear"/>
            <w:vAlign w:val="center"/>
          </w:tcPr>
          <w:p w14:paraId="2A5030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608" w:type="dxa"/>
            <w:tcBorders>
              <w:top w:val="single" w:color="000000" w:sz="4" w:space="0"/>
              <w:left w:val="single" w:color="000000" w:sz="4" w:space="0"/>
              <w:bottom w:val="nil"/>
              <w:right w:val="single" w:color="000000" w:sz="4" w:space="0"/>
            </w:tcBorders>
            <w:shd w:val="clear"/>
            <w:vAlign w:val="center"/>
          </w:tcPr>
          <w:p w14:paraId="26BCF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622" w:type="dxa"/>
            <w:tcBorders>
              <w:top w:val="single" w:color="000000" w:sz="4" w:space="0"/>
              <w:left w:val="single" w:color="000000" w:sz="4" w:space="0"/>
              <w:bottom w:val="nil"/>
              <w:right w:val="single" w:color="000000" w:sz="4" w:space="0"/>
            </w:tcBorders>
            <w:shd w:val="clear"/>
            <w:vAlign w:val="center"/>
          </w:tcPr>
          <w:p w14:paraId="3C33E5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756" w:type="dxa"/>
            <w:tcBorders>
              <w:top w:val="single" w:color="000000" w:sz="4" w:space="0"/>
              <w:left w:val="single" w:color="000000" w:sz="4" w:space="0"/>
              <w:bottom w:val="nil"/>
              <w:right w:val="single" w:color="000000" w:sz="4" w:space="0"/>
            </w:tcBorders>
            <w:shd w:val="clear"/>
            <w:vAlign w:val="center"/>
          </w:tcPr>
          <w:p w14:paraId="0250C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640" w:type="dxa"/>
            <w:tcBorders>
              <w:top w:val="single" w:color="000000" w:sz="4" w:space="0"/>
              <w:left w:val="single" w:color="000000" w:sz="4" w:space="0"/>
              <w:bottom w:val="nil"/>
              <w:right w:val="single" w:color="000000" w:sz="4" w:space="0"/>
            </w:tcBorders>
            <w:shd w:val="clear"/>
            <w:vAlign w:val="center"/>
          </w:tcPr>
          <w:p w14:paraId="1B7303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7" w:type="dxa"/>
            <w:tcBorders>
              <w:top w:val="single" w:color="000000" w:sz="4" w:space="0"/>
              <w:left w:val="single" w:color="000000" w:sz="4" w:space="0"/>
              <w:bottom w:val="nil"/>
              <w:right w:val="single" w:color="000000" w:sz="4" w:space="0"/>
            </w:tcBorders>
            <w:shd w:val="clear"/>
            <w:vAlign w:val="center"/>
          </w:tcPr>
          <w:p w14:paraId="7C428B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22.5</w:t>
            </w:r>
          </w:p>
        </w:tc>
        <w:tc>
          <w:tcPr>
            <w:tcW w:w="1035" w:type="dxa"/>
            <w:tcBorders>
              <w:top w:val="single" w:color="000000" w:sz="4" w:space="0"/>
              <w:left w:val="single" w:color="000000" w:sz="4" w:space="0"/>
              <w:bottom w:val="nil"/>
              <w:right w:val="single" w:color="000000" w:sz="4" w:space="0"/>
            </w:tcBorders>
            <w:shd w:val="clear"/>
            <w:vAlign w:val="center"/>
          </w:tcPr>
          <w:p w14:paraId="2450EE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22.5</w:t>
            </w:r>
          </w:p>
        </w:tc>
        <w:tc>
          <w:tcPr>
            <w:tcW w:w="1350" w:type="dxa"/>
            <w:tcBorders>
              <w:top w:val="single" w:color="000000" w:sz="4" w:space="0"/>
              <w:left w:val="single" w:color="000000" w:sz="4" w:space="0"/>
              <w:bottom w:val="nil"/>
              <w:right w:val="single" w:color="000000" w:sz="4" w:space="0"/>
            </w:tcBorders>
            <w:shd w:val="clear"/>
            <w:vAlign w:val="center"/>
          </w:tcPr>
          <w:p w14:paraId="714C0718">
            <w:pPr>
              <w:jc w:val="center"/>
              <w:rPr>
                <w:rFonts w:hint="eastAsia" w:ascii="宋体" w:hAnsi="宋体" w:eastAsia="宋体" w:cs="宋体"/>
                <w:i w:val="0"/>
                <w:iCs w:val="0"/>
                <w:color w:val="000000"/>
                <w:sz w:val="18"/>
                <w:szCs w:val="18"/>
                <w:u w:val="none"/>
              </w:rPr>
            </w:pPr>
          </w:p>
        </w:tc>
      </w:tr>
      <w:tr w14:paraId="3697F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07" w:type="dxa"/>
            <w:vMerge w:val="continue"/>
            <w:tcBorders>
              <w:top w:val="single" w:color="000000" w:sz="4" w:space="0"/>
              <w:left w:val="single" w:color="000000" w:sz="4" w:space="0"/>
              <w:bottom w:val="nil"/>
              <w:right w:val="single" w:color="000000" w:sz="4" w:space="0"/>
            </w:tcBorders>
            <w:shd w:val="clear"/>
            <w:vAlign w:val="center"/>
          </w:tcPr>
          <w:p w14:paraId="77783308">
            <w:pPr>
              <w:jc w:val="center"/>
              <w:rPr>
                <w:rFonts w:hint="eastAsia" w:ascii="宋体" w:hAnsi="宋体" w:eastAsia="宋体" w:cs="宋体"/>
                <w:i w:val="0"/>
                <w:iCs w:val="0"/>
                <w:color w:val="000000"/>
                <w:sz w:val="18"/>
                <w:szCs w:val="18"/>
                <w:u w:val="none"/>
              </w:rPr>
            </w:pPr>
          </w:p>
        </w:tc>
        <w:tc>
          <w:tcPr>
            <w:tcW w:w="608" w:type="dxa"/>
            <w:tcBorders>
              <w:top w:val="single" w:color="000000" w:sz="4" w:space="0"/>
              <w:left w:val="single" w:color="000000" w:sz="4" w:space="0"/>
              <w:bottom w:val="nil"/>
              <w:right w:val="single" w:color="000000" w:sz="4" w:space="0"/>
            </w:tcBorders>
            <w:shd w:val="clear"/>
            <w:vAlign w:val="center"/>
          </w:tcPr>
          <w:p w14:paraId="503620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637" w:type="dxa"/>
            <w:tcBorders>
              <w:top w:val="single" w:color="000000" w:sz="4" w:space="0"/>
              <w:left w:val="single" w:color="000000" w:sz="4" w:space="0"/>
              <w:bottom w:val="nil"/>
              <w:right w:val="single" w:color="000000" w:sz="4" w:space="0"/>
            </w:tcBorders>
            <w:shd w:val="clear"/>
            <w:vAlign w:val="center"/>
          </w:tcPr>
          <w:p w14:paraId="3AEC88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经济效益指标</w:t>
            </w:r>
          </w:p>
        </w:tc>
        <w:tc>
          <w:tcPr>
            <w:tcW w:w="666" w:type="dxa"/>
            <w:tcBorders>
              <w:top w:val="single" w:color="000000" w:sz="4" w:space="0"/>
              <w:left w:val="single" w:color="000000" w:sz="4" w:space="0"/>
              <w:bottom w:val="nil"/>
              <w:right w:val="single" w:color="000000" w:sz="4" w:space="0"/>
            </w:tcBorders>
            <w:shd w:val="clear"/>
            <w:vAlign w:val="center"/>
          </w:tcPr>
          <w:p w14:paraId="53F9A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结余率=结余数/预算数</w:t>
            </w:r>
          </w:p>
        </w:tc>
        <w:tc>
          <w:tcPr>
            <w:tcW w:w="608" w:type="dxa"/>
            <w:tcBorders>
              <w:top w:val="single" w:color="000000" w:sz="4" w:space="0"/>
              <w:left w:val="single" w:color="000000" w:sz="4" w:space="0"/>
              <w:bottom w:val="nil"/>
              <w:right w:val="single" w:color="000000" w:sz="4" w:space="0"/>
            </w:tcBorders>
            <w:shd w:val="clear"/>
            <w:vAlign w:val="center"/>
          </w:tcPr>
          <w:p w14:paraId="02C35C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608" w:type="dxa"/>
            <w:tcBorders>
              <w:top w:val="single" w:color="000000" w:sz="4" w:space="0"/>
              <w:left w:val="single" w:color="000000" w:sz="4" w:space="0"/>
              <w:bottom w:val="nil"/>
              <w:right w:val="single" w:color="000000" w:sz="4" w:space="0"/>
            </w:tcBorders>
            <w:shd w:val="clear"/>
            <w:vAlign w:val="center"/>
          </w:tcPr>
          <w:p w14:paraId="22ED98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622" w:type="dxa"/>
            <w:tcBorders>
              <w:top w:val="single" w:color="000000" w:sz="4" w:space="0"/>
              <w:left w:val="single" w:color="000000" w:sz="4" w:space="0"/>
              <w:bottom w:val="nil"/>
              <w:right w:val="single" w:color="000000" w:sz="4" w:space="0"/>
            </w:tcBorders>
            <w:shd w:val="clear"/>
            <w:vAlign w:val="center"/>
          </w:tcPr>
          <w:p w14:paraId="63B5C2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756" w:type="dxa"/>
            <w:tcBorders>
              <w:top w:val="single" w:color="000000" w:sz="4" w:space="0"/>
              <w:left w:val="single" w:color="000000" w:sz="4" w:space="0"/>
              <w:bottom w:val="nil"/>
              <w:right w:val="single" w:color="000000" w:sz="4" w:space="0"/>
            </w:tcBorders>
            <w:shd w:val="clear"/>
            <w:vAlign w:val="center"/>
          </w:tcPr>
          <w:p w14:paraId="499B50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640" w:type="dxa"/>
            <w:tcBorders>
              <w:top w:val="single" w:color="000000" w:sz="4" w:space="0"/>
              <w:left w:val="single" w:color="000000" w:sz="4" w:space="0"/>
              <w:bottom w:val="nil"/>
              <w:right w:val="single" w:color="000000" w:sz="4" w:space="0"/>
            </w:tcBorders>
            <w:shd w:val="clear"/>
            <w:vAlign w:val="center"/>
          </w:tcPr>
          <w:p w14:paraId="288126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37" w:type="dxa"/>
            <w:tcBorders>
              <w:top w:val="single" w:color="000000" w:sz="4" w:space="0"/>
              <w:left w:val="single" w:color="000000" w:sz="4" w:space="0"/>
              <w:bottom w:val="nil"/>
              <w:right w:val="single" w:color="000000" w:sz="4" w:space="0"/>
            </w:tcBorders>
            <w:shd w:val="clear"/>
            <w:vAlign w:val="center"/>
          </w:tcPr>
          <w:p w14:paraId="3D8382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22.5</w:t>
            </w:r>
          </w:p>
        </w:tc>
        <w:tc>
          <w:tcPr>
            <w:tcW w:w="1035" w:type="dxa"/>
            <w:tcBorders>
              <w:top w:val="single" w:color="000000" w:sz="4" w:space="0"/>
              <w:left w:val="single" w:color="000000" w:sz="4" w:space="0"/>
              <w:bottom w:val="nil"/>
              <w:right w:val="single" w:color="000000" w:sz="4" w:space="0"/>
            </w:tcBorders>
            <w:shd w:val="clear"/>
            <w:vAlign w:val="center"/>
          </w:tcPr>
          <w:p w14:paraId="5CE163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22.5</w:t>
            </w:r>
          </w:p>
        </w:tc>
        <w:tc>
          <w:tcPr>
            <w:tcW w:w="1350" w:type="dxa"/>
            <w:tcBorders>
              <w:top w:val="single" w:color="000000" w:sz="4" w:space="0"/>
              <w:left w:val="single" w:color="000000" w:sz="4" w:space="0"/>
              <w:bottom w:val="nil"/>
              <w:right w:val="single" w:color="000000" w:sz="4" w:space="0"/>
            </w:tcBorders>
            <w:shd w:val="clear"/>
            <w:vAlign w:val="center"/>
          </w:tcPr>
          <w:p w14:paraId="3312FAF6">
            <w:pPr>
              <w:jc w:val="center"/>
              <w:rPr>
                <w:rFonts w:hint="eastAsia" w:ascii="宋体" w:hAnsi="宋体" w:eastAsia="宋体" w:cs="宋体"/>
                <w:i w:val="0"/>
                <w:iCs w:val="0"/>
                <w:color w:val="000000"/>
                <w:sz w:val="18"/>
                <w:szCs w:val="18"/>
                <w:u w:val="none"/>
              </w:rPr>
            </w:pPr>
          </w:p>
        </w:tc>
      </w:tr>
      <w:tr w14:paraId="7AE98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752" w:type="dxa"/>
            <w:gridSpan w:val="9"/>
            <w:tcBorders>
              <w:top w:val="single" w:color="000000" w:sz="4" w:space="0"/>
              <w:left w:val="single" w:color="000000" w:sz="4" w:space="0"/>
              <w:bottom w:val="single" w:color="000000" w:sz="4" w:space="0"/>
              <w:right w:val="single" w:color="000000" w:sz="4" w:space="0"/>
            </w:tcBorders>
            <w:shd w:val="clear"/>
            <w:vAlign w:val="center"/>
          </w:tcPr>
          <w:p w14:paraId="6696B6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637" w:type="dxa"/>
            <w:tcBorders>
              <w:top w:val="single" w:color="000000" w:sz="4" w:space="0"/>
              <w:left w:val="single" w:color="000000" w:sz="4" w:space="0"/>
              <w:bottom w:val="single" w:color="000000" w:sz="4" w:space="0"/>
              <w:right w:val="single" w:color="000000" w:sz="4" w:space="0"/>
            </w:tcBorders>
            <w:shd w:val="clear"/>
            <w:vAlign w:val="center"/>
          </w:tcPr>
          <w:p w14:paraId="65CAE2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035" w:type="dxa"/>
            <w:tcBorders>
              <w:top w:val="single" w:color="000000" w:sz="4" w:space="0"/>
              <w:left w:val="single" w:color="000000" w:sz="4" w:space="0"/>
              <w:bottom w:val="single" w:color="000000" w:sz="4" w:space="0"/>
              <w:right w:val="single" w:color="000000" w:sz="4" w:space="0"/>
            </w:tcBorders>
            <w:shd w:val="clear"/>
            <w:vAlign w:val="center"/>
          </w:tcPr>
          <w:p w14:paraId="47E1CE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1350" w:type="dxa"/>
            <w:tcBorders>
              <w:top w:val="single" w:color="000000" w:sz="4" w:space="0"/>
              <w:left w:val="single" w:color="000000" w:sz="4" w:space="0"/>
              <w:bottom w:val="single" w:color="000000" w:sz="4" w:space="0"/>
              <w:right w:val="single" w:color="000000" w:sz="4" w:space="0"/>
            </w:tcBorders>
            <w:shd w:val="clear"/>
            <w:vAlign w:val="center"/>
          </w:tcPr>
          <w:p w14:paraId="42CD7FD6">
            <w:pPr>
              <w:jc w:val="center"/>
              <w:rPr>
                <w:rFonts w:hint="eastAsia" w:ascii="宋体" w:hAnsi="宋体" w:eastAsia="宋体" w:cs="宋体"/>
                <w:i w:val="0"/>
                <w:iCs w:val="0"/>
                <w:color w:val="000000"/>
                <w:sz w:val="18"/>
                <w:szCs w:val="18"/>
                <w:u w:val="none"/>
              </w:rPr>
            </w:pPr>
          </w:p>
        </w:tc>
      </w:tr>
    </w:tbl>
    <w:p w14:paraId="1A86FC0A">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hint="eastAsia" w:ascii="楷体_GB2312" w:hAnsi="楷体_GB2312" w:eastAsia="楷体_GB2312" w:cs="楷体_GB2312"/>
          <w:b w:val="0"/>
          <w:bCs w:val="0"/>
          <w:kern w:val="0"/>
          <w:sz w:val="32"/>
          <w:szCs w:val="32"/>
          <w:u w:val="none" w:color="auto"/>
        </w:rPr>
      </w:pPr>
      <w:r>
        <w:rPr>
          <w:rFonts w:hint="eastAsia" w:ascii="楷体_GB2312" w:hAnsi="楷体_GB2312" w:eastAsia="楷体_GB2312" w:cs="楷体_GB2312"/>
          <w:b w:val="0"/>
          <w:bCs w:val="0"/>
          <w:kern w:val="0"/>
          <w:sz w:val="32"/>
          <w:szCs w:val="32"/>
          <w:u w:val="none" w:color="auto"/>
        </w:rPr>
        <w:t>   （三）部门项目绩效评价结果。</w:t>
      </w:r>
    </w:p>
    <w:p w14:paraId="7488CA64">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kern w:val="0"/>
          <w:sz w:val="32"/>
          <w:szCs w:val="32"/>
          <w:u w:val="none" w:color="auto"/>
        </w:rPr>
      </w:pPr>
      <w:r>
        <w:rPr>
          <w:rFonts w:ascii="仿宋_GB2312" w:hAnsi="仿宋_GB2312" w:eastAsia="仿宋_GB2312" w:cs="仿宋_GB2312"/>
          <w:kern w:val="0"/>
          <w:sz w:val="32"/>
          <w:szCs w:val="32"/>
          <w:u w:val="none" w:color="auto"/>
        </w:rPr>
        <w:t>    以</w:t>
      </w:r>
      <w:r>
        <w:rPr>
          <w:rFonts w:hint="eastAsia" w:ascii="仿宋_GB2312" w:hAnsi="仿宋_GB2312" w:eastAsia="仿宋_GB2312" w:cs="仿宋_GB2312"/>
          <w:kern w:val="0"/>
          <w:sz w:val="32"/>
          <w:szCs w:val="32"/>
          <w:lang w:val="en-US" w:eastAsia="zh-CN"/>
        </w:rPr>
        <w:t>业务装备经费</w:t>
      </w:r>
      <w:r>
        <w:rPr>
          <w:rFonts w:ascii="仿宋_GB2312" w:hAnsi="仿宋_GB2312" w:eastAsia="仿宋_GB2312" w:cs="仿宋_GB2312"/>
          <w:kern w:val="0"/>
          <w:sz w:val="32"/>
          <w:szCs w:val="32"/>
          <w:u w:val="none" w:color="auto"/>
        </w:rPr>
        <w:t>项目为例，该项目绩效评价综合得分为</w:t>
      </w:r>
      <w:r>
        <w:rPr>
          <w:rFonts w:hint="eastAsia" w:ascii="times_new_roman" w:hAnsi="times_new_roman" w:cs="times_new_roman"/>
          <w:kern w:val="0"/>
          <w:sz w:val="32"/>
          <w:szCs w:val="32"/>
          <w:u w:val="none" w:color="auto"/>
          <w:lang w:val="en-US" w:eastAsia="zh-CN"/>
        </w:rPr>
        <w:t>100</w:t>
      </w:r>
      <w:r>
        <w:rPr>
          <w:rFonts w:ascii="仿宋_GB2312" w:hAnsi="仿宋_GB2312" w:eastAsia="仿宋_GB2312" w:cs="仿宋_GB2312"/>
          <w:kern w:val="0"/>
          <w:sz w:val="32"/>
          <w:szCs w:val="32"/>
          <w:u w:val="none" w:color="auto"/>
        </w:rPr>
        <w:t>分，绩效评价结果为“优”。部门项目绩效评价得分情况详见部门（单位）具体绩效评价结果。</w:t>
      </w:r>
    </w:p>
    <w:p w14:paraId="6109B311">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仿宋_GB2312" w:hAnsi="仿宋_GB2312" w:eastAsia="仿宋_GB2312" w:cs="仿宋_GB2312"/>
          <w:kern w:val="0"/>
          <w:sz w:val="32"/>
          <w:szCs w:val="32"/>
          <w:u w:val="none" w:color="auto"/>
        </w:rPr>
      </w:pPr>
    </w:p>
    <w:p w14:paraId="1659BCFC">
      <w:pPr>
        <w:pStyle w:val="3"/>
        <w:keepNext w:val="0"/>
        <w:keepLines w:val="0"/>
        <w:pageBreakBefore w:val="0"/>
        <w:widowControl/>
        <w:kinsoku/>
        <w:wordWrap/>
        <w:overflowPunct/>
        <w:topLinePunct w:val="0"/>
        <w:autoSpaceDE/>
        <w:autoSpaceDN/>
        <w:bidi w:val="0"/>
        <w:spacing w:before="0" w:after="0" w:afterAutospacing="0" w:line="560" w:lineRule="exact"/>
        <w:jc w:val="center"/>
        <w:textAlignment w:val="auto"/>
        <w:rPr>
          <w:rFonts w:hint="eastAsia" w:ascii="方正小标宋简体" w:hAnsi="方正小标宋简体" w:eastAsia="方正小标宋简体" w:cs="方正小标宋简体"/>
          <w:b w:val="0"/>
          <w:bCs w:val="0"/>
          <w:kern w:val="0"/>
          <w:sz w:val="32"/>
          <w:szCs w:val="32"/>
          <w:u w:val="none" w:color="auto"/>
        </w:rPr>
      </w:pPr>
      <w:r>
        <w:rPr>
          <w:rFonts w:hint="eastAsia" w:ascii="方正小标宋简体" w:hAnsi="方正小标宋简体" w:eastAsia="方正小标宋简体" w:cs="方正小标宋简体"/>
          <w:b w:val="0"/>
          <w:bCs w:val="0"/>
          <w:kern w:val="0"/>
          <w:sz w:val="32"/>
          <w:szCs w:val="32"/>
          <w:u w:val="none" w:color="auto"/>
        </w:rPr>
        <w:t>第三部分 名词解释</w:t>
      </w:r>
    </w:p>
    <w:p w14:paraId="4B8E724A">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一、财政拨款收入：</w:t>
      </w:r>
      <w:r>
        <w:rPr>
          <w:rFonts w:ascii="仿宋_GB2312" w:hAnsi="仿宋_GB2312" w:eastAsia="仿宋_GB2312" w:cs="仿宋_GB2312"/>
          <w:kern w:val="0"/>
          <w:sz w:val="32"/>
          <w:szCs w:val="32"/>
          <w:u w:val="none" w:color="auto"/>
        </w:rPr>
        <w:t>从同级财政部门取得的各类财政拨款，包括一般公共预算财政拨款、政府性基金预算财政拨款、国有资本经营预算财政拨款。</w:t>
      </w:r>
    </w:p>
    <w:p w14:paraId="1D5A9A00">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二、上级补助收入：</w:t>
      </w:r>
      <w:r>
        <w:rPr>
          <w:rFonts w:ascii="仿宋_GB2312" w:hAnsi="仿宋_GB2312" w:eastAsia="仿宋_GB2312" w:cs="仿宋_GB2312"/>
          <w:kern w:val="0"/>
          <w:sz w:val="32"/>
          <w:szCs w:val="32"/>
          <w:u w:val="none" w:color="auto"/>
        </w:rPr>
        <w:t>指事业单位从主管部门和上级单位取得的非财政补助收入。</w:t>
      </w:r>
    </w:p>
    <w:p w14:paraId="79A407D1">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三、财政专户管理教育收费：</w:t>
      </w:r>
      <w:r>
        <w:rPr>
          <w:rFonts w:ascii="仿宋_GB2312" w:hAnsi="仿宋_GB2312" w:eastAsia="仿宋_GB2312" w:cs="仿宋_GB2312"/>
          <w:kern w:val="0"/>
          <w:sz w:val="32"/>
          <w:szCs w:val="32"/>
          <w:u w:val="none" w:color="auto"/>
        </w:rPr>
        <w:t>指缴入财政专户、实行专项管理的高中以上学费、住宿费、高校委托培养费、函大、电大、夜大及短训班培训费等教育收费。</w:t>
      </w:r>
    </w:p>
    <w:p w14:paraId="560CADC9">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四、事业收入：</w:t>
      </w:r>
      <w:r>
        <w:rPr>
          <w:rFonts w:ascii="仿宋_GB2312" w:hAnsi="仿宋_GB2312" w:eastAsia="仿宋_GB2312" w:cs="仿宋_GB2312"/>
          <w:kern w:val="0"/>
          <w:sz w:val="32"/>
          <w:szCs w:val="32"/>
          <w:u w:val="none" w:color="auto"/>
        </w:rPr>
        <w:t>指事业单位开展专业业务活动及其辅助活动取得的收入。</w:t>
      </w:r>
    </w:p>
    <w:p w14:paraId="276F1EC9">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五、经营收入：</w:t>
      </w:r>
      <w:r>
        <w:rPr>
          <w:rFonts w:ascii="仿宋_GB2312" w:hAnsi="仿宋_GB2312" w:eastAsia="仿宋_GB2312" w:cs="仿宋_GB2312"/>
          <w:kern w:val="0"/>
          <w:sz w:val="32"/>
          <w:szCs w:val="32"/>
          <w:u w:val="none" w:color="auto"/>
        </w:rPr>
        <w:t>指事业单位在专业业务活动及其辅助活动之外开展非独立核算经营活动取得的收入。</w:t>
      </w:r>
    </w:p>
    <w:p w14:paraId="13A0AF64">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六、附属单位上缴收入：</w:t>
      </w:r>
      <w:r>
        <w:rPr>
          <w:rFonts w:ascii="仿宋_GB2312" w:hAnsi="仿宋_GB2312" w:eastAsia="仿宋_GB2312" w:cs="仿宋_GB2312"/>
          <w:kern w:val="0"/>
          <w:sz w:val="32"/>
          <w:szCs w:val="32"/>
          <w:u w:val="none" w:color="auto"/>
        </w:rPr>
        <w:t>指事业单位取得附属独立核算单位按照有关规定上缴的收入。</w:t>
      </w:r>
    </w:p>
    <w:p w14:paraId="74C9BE08">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七、其他收入：</w:t>
      </w:r>
      <w:r>
        <w:rPr>
          <w:rFonts w:ascii="仿宋_GB2312" w:hAnsi="仿宋_GB2312" w:eastAsia="仿宋_GB2312" w:cs="仿宋_GB2312"/>
          <w:kern w:val="0"/>
          <w:sz w:val="32"/>
          <w:szCs w:val="32"/>
          <w:u w:val="none" w:color="auto"/>
        </w:rPr>
        <w:t>取得的除上述财政拨款收入、上级补助收入、事业收入、经营收入、附属单位上缴收入等以外的各项收入。</w:t>
      </w:r>
    </w:p>
    <w:p w14:paraId="6E5E60CB">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八、使用非财政拨款结余（含专用结余）：</w:t>
      </w:r>
      <w:r>
        <w:rPr>
          <w:rFonts w:ascii="仿宋_GB2312" w:hAnsi="仿宋_GB2312" w:eastAsia="仿宋_GB2312" w:cs="仿宋_GB2312"/>
          <w:kern w:val="0"/>
          <w:sz w:val="32"/>
          <w:szCs w:val="32"/>
          <w:u w:val="none" w:color="auto"/>
        </w:rPr>
        <w:t>指事业单位按照预算管理要求使用非财政拨款结余</w:t>
      </w:r>
      <w:r>
        <w:rPr>
          <w:rFonts w:ascii="仿宋_GB2312" w:hAnsi="仿宋_GB2312" w:eastAsia="仿宋_GB2312" w:cs="仿宋_GB2312"/>
          <w:color w:val="000000"/>
          <w:kern w:val="0"/>
          <w:sz w:val="32"/>
          <w:szCs w:val="32"/>
          <w:u w:val="none" w:color="auto"/>
        </w:rPr>
        <w:t>弥补收支差额的金额，以及使用专用结余安排支出的金额。</w:t>
      </w:r>
    </w:p>
    <w:p w14:paraId="7E2B88CD">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九、年初结转和结余：</w:t>
      </w:r>
      <w:r>
        <w:rPr>
          <w:rFonts w:ascii="仿宋_GB2312" w:hAnsi="仿宋_GB2312" w:eastAsia="仿宋_GB2312" w:cs="仿宋_GB2312"/>
          <w:kern w:val="0"/>
          <w:sz w:val="32"/>
          <w:szCs w:val="32"/>
          <w:u w:val="none" w:color="auto"/>
        </w:rPr>
        <w:t>指单位上年结转本年使用的基本支出结转、项目支出结转和结余、经营结余。</w:t>
      </w:r>
    </w:p>
    <w:p w14:paraId="7ABABB16">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十、结余分配：</w:t>
      </w:r>
      <w:r>
        <w:rPr>
          <w:rFonts w:ascii="仿宋_GB2312" w:hAnsi="仿宋_GB2312" w:eastAsia="仿宋_GB2312" w:cs="仿宋_GB2312"/>
          <w:kern w:val="0"/>
          <w:sz w:val="32"/>
          <w:szCs w:val="32"/>
          <w:u w:val="none" w:color="auto"/>
        </w:rPr>
        <w:t>指单位按规定缴纳企业所得税以及从非财政拨款结余或经营结余中提取各类结余的情况。</w:t>
      </w:r>
    </w:p>
    <w:p w14:paraId="7572F981">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十一、年末结转和结余资金：</w:t>
      </w:r>
      <w:r>
        <w:rPr>
          <w:rFonts w:ascii="仿宋_GB2312" w:hAnsi="仿宋_GB2312" w:eastAsia="仿宋_GB2312" w:cs="仿宋_GB2312"/>
          <w:kern w:val="0"/>
          <w:sz w:val="32"/>
          <w:szCs w:val="32"/>
          <w:u w:val="none" w:color="auto"/>
        </w:rPr>
        <w:t>指单位结转下年的基本支出结转、项目支出结转和结余、经营结余。</w:t>
      </w:r>
    </w:p>
    <w:p w14:paraId="5D2E5831">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十二、基本支出：</w:t>
      </w:r>
      <w:r>
        <w:rPr>
          <w:rFonts w:ascii="仿宋_GB2312" w:hAnsi="仿宋_GB2312" w:eastAsia="仿宋_GB2312" w:cs="仿宋_GB2312"/>
          <w:kern w:val="0"/>
          <w:sz w:val="32"/>
          <w:szCs w:val="32"/>
          <w:u w:val="none" w:color="auto"/>
        </w:rPr>
        <w:t>指为保障机构正常运转、完成日常工作任务所发生的支出，包括人员经费和公用经费。</w:t>
      </w:r>
    </w:p>
    <w:p w14:paraId="6104AC78">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十三、项目支出：</w:t>
      </w:r>
      <w:r>
        <w:rPr>
          <w:rFonts w:hint="eastAsia" w:ascii="仿宋_GB2312" w:hAnsi="仿宋_GB2312" w:eastAsia="仿宋_GB2312" w:cs="仿宋_GB2312"/>
          <w:b/>
          <w:bCs/>
          <w:kern w:val="0"/>
          <w:sz w:val="32"/>
          <w:szCs w:val="32"/>
          <w:u w:val="none" w:color="auto"/>
          <w:lang w:eastAsia="zh-CN"/>
        </w:rPr>
        <w:t>指</w:t>
      </w:r>
      <w:r>
        <w:rPr>
          <w:rFonts w:ascii="仿宋_GB2312" w:hAnsi="仿宋_GB2312" w:eastAsia="仿宋_GB2312" w:cs="仿宋_GB2312"/>
          <w:kern w:val="0"/>
          <w:sz w:val="32"/>
          <w:szCs w:val="32"/>
          <w:u w:val="none" w:color="auto"/>
        </w:rPr>
        <w:t>为完成特定的行政工作任务或事业发展目标所发生的支出。</w:t>
      </w:r>
    </w:p>
    <w:p w14:paraId="0CEDAE05">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十四、上缴上级支出：</w:t>
      </w:r>
      <w:r>
        <w:rPr>
          <w:rFonts w:ascii="仿宋_GB2312" w:hAnsi="仿宋_GB2312" w:eastAsia="仿宋_GB2312" w:cs="仿宋_GB2312"/>
          <w:kern w:val="0"/>
          <w:sz w:val="32"/>
          <w:szCs w:val="32"/>
          <w:u w:val="none" w:color="auto"/>
        </w:rPr>
        <w:t>指事业单位按照财政部门和主管部门的规定上缴上级单位的支出。</w:t>
      </w:r>
    </w:p>
    <w:p w14:paraId="4A524A4D">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十五、经营支出：</w:t>
      </w:r>
      <w:r>
        <w:rPr>
          <w:rFonts w:ascii="仿宋_GB2312" w:hAnsi="仿宋_GB2312" w:eastAsia="仿宋_GB2312" w:cs="仿宋_GB2312"/>
          <w:kern w:val="0"/>
          <w:sz w:val="32"/>
          <w:szCs w:val="32"/>
          <w:u w:val="none" w:color="auto"/>
        </w:rPr>
        <w:t>指事业单位在专业业务活动及其辅助活动之外开展非独立核算经营活动发生的支出。</w:t>
      </w:r>
    </w:p>
    <w:p w14:paraId="3E64386D">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十六、对附属单位补助支出：</w:t>
      </w:r>
      <w:r>
        <w:rPr>
          <w:rFonts w:ascii="仿宋_GB2312" w:hAnsi="仿宋_GB2312" w:eastAsia="仿宋_GB2312" w:cs="仿宋_GB2312"/>
          <w:kern w:val="0"/>
          <w:sz w:val="32"/>
          <w:szCs w:val="32"/>
          <w:u w:val="none" w:color="auto"/>
        </w:rPr>
        <w:t>指事业单位用财政拨款收入之外的收入对附属单位补助发生的支出。</w:t>
      </w:r>
    </w:p>
    <w:p w14:paraId="2F9C4109">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b/>
          <w:bCs/>
          <w:kern w:val="0"/>
          <w:sz w:val="32"/>
          <w:szCs w:val="32"/>
          <w:u w:val="none" w:color="auto"/>
        </w:rPr>
        <w:t>    十七、“三公”经费：</w:t>
      </w:r>
      <w:r>
        <w:rPr>
          <w:rFonts w:ascii="仿宋_GB2312" w:hAnsi="仿宋_GB2312" w:eastAsia="仿宋_GB2312" w:cs="仿宋_GB2312"/>
          <w:kern w:val="0"/>
          <w:sz w:val="32"/>
          <w:szCs w:val="32"/>
          <w:u w:val="none" w:color="auto"/>
        </w:rPr>
        <w:t>指部门（单位）用财政拨款安排的因公出国（境）费、公务用车购置及运行维护费和公务接待费。其中，因公出国（境）费反映部门（单位）</w:t>
      </w:r>
      <w:r>
        <w:rPr>
          <w:rFonts w:hint="eastAsia" w:ascii="仿宋_GB2312" w:hAnsi="仿宋_GB2312" w:eastAsia="仿宋_GB2312" w:cs="仿宋_GB2312"/>
          <w:kern w:val="0"/>
          <w:sz w:val="32"/>
          <w:szCs w:val="32"/>
          <w:u w:val="none" w:color="auto"/>
          <w:lang w:eastAsia="zh-CN"/>
        </w:rPr>
        <w:t>）</w:t>
      </w:r>
      <w:r>
        <w:rPr>
          <w:rFonts w:ascii="仿宋_GB2312" w:hAnsi="仿宋_GB2312" w:eastAsia="仿宋_GB2312" w:cs="仿宋_GB2312"/>
          <w:kern w:val="0"/>
          <w:sz w:val="32"/>
          <w:szCs w:val="32"/>
          <w:u w:val="none" w:color="auto"/>
        </w:rPr>
        <w:t>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14:paraId="74B5B630">
      <w:pPr>
        <w:keepNext w:val="0"/>
        <w:keepLines w:val="0"/>
        <w:pageBreakBefore w:val="0"/>
        <w:widowControl/>
        <w:kinsoku/>
        <w:wordWrap/>
        <w:overflowPunct/>
        <w:topLinePunct w:val="0"/>
        <w:autoSpaceDE/>
        <w:autoSpaceDN/>
        <w:bidi w:val="0"/>
        <w:spacing w:afterAutospacing="0" w:line="560" w:lineRule="exact"/>
        <w:ind w:firstLine="643" w:firstLineChars="200"/>
        <w:jc w:val="left"/>
        <w:textAlignment w:val="auto"/>
        <w:rPr>
          <w:rFonts w:hint="eastAsia" w:ascii="方正小标宋简体" w:hAnsi="方正小标宋简体" w:eastAsia="方正小标宋简体" w:cs="方正小标宋简体"/>
          <w:b w:val="0"/>
          <w:bCs w:val="0"/>
          <w:kern w:val="0"/>
          <w:sz w:val="32"/>
          <w:szCs w:val="32"/>
          <w:u w:val="none" w:color="auto"/>
        </w:rPr>
      </w:pPr>
      <w:r>
        <w:rPr>
          <w:rFonts w:ascii="仿宋_GB2312" w:hAnsi="仿宋_GB2312" w:eastAsia="仿宋_GB2312" w:cs="仿宋_GB2312"/>
          <w:b/>
          <w:bCs/>
          <w:kern w:val="0"/>
          <w:sz w:val="32"/>
          <w:szCs w:val="32"/>
          <w:u w:val="none" w:color="auto"/>
        </w:rPr>
        <w:t>    十八、机关运行经费：</w:t>
      </w:r>
      <w:r>
        <w:rPr>
          <w:rFonts w:ascii="仿宋_GB2312" w:hAnsi="仿宋_GB2312" w:eastAsia="仿宋_GB2312" w:cs="仿宋_GB2312"/>
          <w:color w:val="000000"/>
          <w:kern w:val="0"/>
          <w:sz w:val="32"/>
          <w:szCs w:val="32"/>
          <w:u w:val="none" w:color="auto"/>
        </w:rPr>
        <w:t>指行政单位和参照公务员法管理的事业单位财政拨款</w:t>
      </w:r>
      <w:r>
        <w:rPr>
          <w:rFonts w:ascii="仿宋_GB2312" w:hAnsi="仿宋_GB2312" w:eastAsia="仿宋_GB2312" w:cs="仿宋_GB2312"/>
          <w:kern w:val="0"/>
          <w:sz w:val="32"/>
          <w:szCs w:val="32"/>
          <w:u w:val="none" w:color="auto"/>
        </w:rPr>
        <w:t>基本支出中的公用经费支出，包括办公及印刷费、邮电费、差旅费、会议费、福利费、日常维修费、专用材料及一般设备购置费、办公用房水电费、办公用房取暖费、办公用房物业管理费、公务用车运行维护费及其他费用等。</w:t>
      </w:r>
    </w:p>
    <w:p w14:paraId="12D9F247">
      <w:pPr>
        <w:pStyle w:val="3"/>
        <w:keepNext w:val="0"/>
        <w:keepLines w:val="0"/>
        <w:pageBreakBefore w:val="0"/>
        <w:widowControl/>
        <w:kinsoku/>
        <w:wordWrap/>
        <w:overflowPunct/>
        <w:topLinePunct w:val="0"/>
        <w:autoSpaceDE/>
        <w:autoSpaceDN/>
        <w:bidi w:val="0"/>
        <w:spacing w:before="0" w:after="0" w:afterAutospacing="0" w:line="560" w:lineRule="exact"/>
        <w:jc w:val="center"/>
        <w:textAlignment w:val="auto"/>
        <w:rPr>
          <w:rFonts w:hint="eastAsia" w:ascii="方正小标宋简体" w:hAnsi="方正小标宋简体" w:eastAsia="方正小标宋简体" w:cs="方正小标宋简体"/>
          <w:b w:val="0"/>
          <w:bCs w:val="0"/>
          <w:kern w:val="0"/>
          <w:sz w:val="32"/>
          <w:szCs w:val="32"/>
          <w:u w:val="none" w:color="auto"/>
        </w:rPr>
      </w:pPr>
      <w:r>
        <w:rPr>
          <w:rFonts w:hint="eastAsia" w:ascii="方正小标宋简体" w:hAnsi="方正小标宋简体" w:eastAsia="方正小标宋简体" w:cs="方正小标宋简体"/>
          <w:b w:val="0"/>
          <w:bCs w:val="0"/>
          <w:kern w:val="0"/>
          <w:sz w:val="32"/>
          <w:szCs w:val="32"/>
          <w:u w:val="none" w:color="auto"/>
        </w:rPr>
        <w:t>第四部分 决算公开联系方式及信息反馈渠道</w:t>
      </w:r>
    </w:p>
    <w:p w14:paraId="3161BDF0">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p>
    <w:p w14:paraId="1429E4F5">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    本部门（单位）决算公开信息反馈和联系方式：</w:t>
      </w:r>
    </w:p>
    <w:p w14:paraId="3AD569F3">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    联系人：</w:t>
      </w:r>
      <w:r>
        <w:rPr>
          <w:rFonts w:ascii="仿宋_GB2312" w:hAnsi="仿宋_GB2312" w:eastAsia="仿宋_GB2312" w:cs="仿宋_GB2312"/>
          <w:kern w:val="0"/>
          <w:sz w:val="32"/>
          <w:szCs w:val="32"/>
          <w:u w:val="none" w:color="auto"/>
        </w:rPr>
        <w:t>魏婉琪 </w:t>
      </w:r>
      <w:r>
        <w:rPr>
          <w:rFonts w:ascii="仿宋_GB2312" w:hAnsi="仿宋_GB2312" w:eastAsia="仿宋_GB2312" w:cs="仿宋_GB2312"/>
          <w:kern w:val="0"/>
          <w:sz w:val="32"/>
          <w:szCs w:val="32"/>
          <w:u w:val="none" w:color="auto"/>
        </w:rPr>
        <w:t>          联系电话：</w:t>
      </w:r>
      <w:r>
        <w:rPr>
          <w:rFonts w:ascii="仿宋_GB2312" w:hAnsi="仿宋_GB2312" w:eastAsia="仿宋_GB2312" w:cs="仿宋_GB2312"/>
          <w:kern w:val="0"/>
          <w:sz w:val="32"/>
          <w:szCs w:val="32"/>
          <w:u w:val="none" w:color="auto"/>
        </w:rPr>
        <w:t>0479-4529928</w:t>
      </w:r>
    </w:p>
    <w:p w14:paraId="324D86D4">
      <w:pPr>
        <w:pStyle w:val="3"/>
        <w:keepNext w:val="0"/>
        <w:keepLines w:val="0"/>
        <w:pageBreakBefore w:val="0"/>
        <w:widowControl/>
        <w:kinsoku/>
        <w:wordWrap/>
        <w:overflowPunct/>
        <w:topLinePunct w:val="0"/>
        <w:autoSpaceDE/>
        <w:autoSpaceDN/>
        <w:bidi w:val="0"/>
        <w:spacing w:before="0" w:after="0" w:afterAutospacing="0" w:line="560" w:lineRule="exact"/>
        <w:jc w:val="center"/>
        <w:textAlignment w:val="auto"/>
        <w:rPr>
          <w:rFonts w:hint="eastAsia" w:ascii="方正小标宋简体" w:hAnsi="方正小标宋简体" w:eastAsia="方正小标宋简体" w:cs="方正小标宋简体"/>
          <w:b w:val="0"/>
          <w:bCs w:val="0"/>
          <w:kern w:val="0"/>
          <w:sz w:val="32"/>
          <w:szCs w:val="32"/>
          <w:u w:val="none" w:color="auto"/>
        </w:rPr>
      </w:pPr>
    </w:p>
    <w:p w14:paraId="1DEE2DAC">
      <w:pPr>
        <w:pStyle w:val="3"/>
        <w:keepNext w:val="0"/>
        <w:keepLines w:val="0"/>
        <w:pageBreakBefore w:val="0"/>
        <w:widowControl/>
        <w:kinsoku/>
        <w:wordWrap/>
        <w:overflowPunct/>
        <w:topLinePunct w:val="0"/>
        <w:autoSpaceDE/>
        <w:autoSpaceDN/>
        <w:bidi w:val="0"/>
        <w:spacing w:before="0" w:after="0" w:afterAutospacing="0" w:line="560" w:lineRule="exact"/>
        <w:jc w:val="center"/>
        <w:textAlignment w:val="auto"/>
        <w:rPr>
          <w:rFonts w:hint="eastAsia" w:ascii="方正小标宋简体" w:hAnsi="方正小标宋简体" w:eastAsia="方正小标宋简体" w:cs="方正小标宋简体"/>
          <w:b w:val="0"/>
          <w:bCs w:val="0"/>
          <w:kern w:val="0"/>
          <w:sz w:val="32"/>
          <w:szCs w:val="32"/>
          <w:u w:val="none" w:color="auto"/>
        </w:rPr>
      </w:pPr>
      <w:r>
        <w:rPr>
          <w:rFonts w:hint="eastAsia" w:ascii="方正小标宋简体" w:hAnsi="方正小标宋简体" w:eastAsia="方正小标宋简体" w:cs="方正小标宋简体"/>
          <w:b w:val="0"/>
          <w:bCs w:val="0"/>
          <w:kern w:val="0"/>
          <w:sz w:val="32"/>
          <w:szCs w:val="32"/>
          <w:u w:val="none" w:color="auto"/>
        </w:rPr>
        <w:t>第五部分 部门（单位）决算表</w:t>
      </w:r>
    </w:p>
    <w:p w14:paraId="002D419B">
      <w:pPr>
        <w:keepNext w:val="0"/>
        <w:keepLines w:val="0"/>
        <w:pageBreakBefore w:val="0"/>
        <w:widowControl/>
        <w:kinsoku/>
        <w:wordWrap/>
        <w:overflowPunct/>
        <w:topLinePunct w:val="0"/>
        <w:autoSpaceDE/>
        <w:autoSpaceDN/>
        <w:bidi w:val="0"/>
        <w:spacing w:afterAutospacing="0" w:line="560" w:lineRule="exact"/>
        <w:ind w:firstLine="640" w:firstLineChars="200"/>
        <w:jc w:val="center"/>
        <w:textAlignment w:val="auto"/>
        <w:rPr>
          <w:rFonts w:ascii="Times New Roman" w:hAnsi="Times New Roman" w:eastAsia="Times New Roman" w:cs="Times New Roman"/>
          <w:kern w:val="0"/>
          <w:sz w:val="32"/>
          <w:szCs w:val="32"/>
          <w:u w:val="none" w:color="auto"/>
        </w:rPr>
      </w:pPr>
    </w:p>
    <w:p w14:paraId="49C131A4">
      <w:pPr>
        <w:keepNext w:val="0"/>
        <w:keepLines w:val="0"/>
        <w:pageBreakBefore w:val="0"/>
        <w:widowControl/>
        <w:kinsoku/>
        <w:wordWrap/>
        <w:overflowPunct/>
        <w:topLinePunct w:val="0"/>
        <w:autoSpaceDE/>
        <w:autoSpaceDN/>
        <w:bidi w:val="0"/>
        <w:spacing w:afterAutospacing="0" w:line="560" w:lineRule="exact"/>
        <w:ind w:firstLine="640" w:firstLineChars="200"/>
        <w:jc w:val="left"/>
        <w:textAlignment w:val="auto"/>
        <w:rPr>
          <w:rFonts w:ascii="Times New Roman" w:hAnsi="Times New Roman" w:eastAsia="Times New Roman" w:cs="Times New Roman"/>
          <w:kern w:val="0"/>
          <w:sz w:val="32"/>
          <w:szCs w:val="32"/>
          <w:u w:val="none" w:color="auto"/>
        </w:rPr>
      </w:pPr>
      <w:r>
        <w:rPr>
          <w:rFonts w:ascii="仿宋_GB2312" w:hAnsi="仿宋_GB2312" w:eastAsia="仿宋_GB2312" w:cs="仿宋_GB2312"/>
          <w:kern w:val="0"/>
          <w:sz w:val="32"/>
          <w:szCs w:val="32"/>
          <w:u w:val="none" w:color="auto"/>
        </w:rPr>
        <w:t>    见附件</w:t>
      </w:r>
      <w:bookmarkStart w:id="1" w:name="_GoBack"/>
      <w:bookmarkEnd w:id="1"/>
    </w:p>
    <w:bookmarkEnd w:id="0"/>
    <w:p w14:paraId="541BC7B4">
      <w:pPr>
        <w:keepNext w:val="0"/>
        <w:keepLines w:val="0"/>
        <w:pageBreakBefore w:val="0"/>
        <w:kinsoku/>
        <w:wordWrap/>
        <w:overflowPunct/>
        <w:topLinePunct w:val="0"/>
        <w:autoSpaceDE/>
        <w:autoSpaceDN/>
        <w:bidi w:val="0"/>
        <w:adjustRightInd w:val="0"/>
        <w:snapToGrid w:val="0"/>
        <w:spacing w:afterAutospacing="0" w:line="560" w:lineRule="exact"/>
        <w:ind w:firstLine="643" w:firstLineChars="200"/>
        <w:textAlignment w:val="auto"/>
        <w:rPr>
          <w:rFonts w:ascii="宋体" w:hAnsi="宋体"/>
          <w:b/>
          <w:sz w:val="32"/>
          <w:szCs w:val="32"/>
          <w:u w:val="none" w:color="auto"/>
        </w:rPr>
      </w:pPr>
    </w:p>
    <w:p w14:paraId="16B721BE">
      <w:pPr>
        <w:keepNext w:val="0"/>
        <w:keepLines w:val="0"/>
        <w:pageBreakBefore w:val="0"/>
        <w:kinsoku/>
        <w:wordWrap/>
        <w:overflowPunct/>
        <w:topLinePunct w:val="0"/>
        <w:autoSpaceDE/>
        <w:autoSpaceDN/>
        <w:bidi w:val="0"/>
        <w:adjustRightInd w:val="0"/>
        <w:snapToGrid w:val="0"/>
        <w:spacing w:afterAutospacing="0" w:line="560" w:lineRule="exact"/>
        <w:ind w:firstLine="643" w:firstLineChars="200"/>
        <w:textAlignment w:val="auto"/>
        <w:rPr>
          <w:rFonts w:ascii="宋体" w:hAnsi="宋体"/>
          <w:b/>
          <w:sz w:val="32"/>
          <w:szCs w:val="32"/>
          <w:u w:val="none" w:color="auto"/>
        </w:rPr>
      </w:pPr>
    </w:p>
    <w:p w14:paraId="064DC7E7">
      <w:pPr>
        <w:keepNext w:val="0"/>
        <w:keepLines w:val="0"/>
        <w:pageBreakBefore w:val="0"/>
        <w:tabs>
          <w:tab w:val="left" w:pos="8415"/>
        </w:tabs>
        <w:kinsoku/>
        <w:wordWrap/>
        <w:overflowPunct/>
        <w:topLinePunct w:val="0"/>
        <w:autoSpaceDE/>
        <w:autoSpaceDN/>
        <w:bidi w:val="0"/>
        <w:spacing w:afterAutospacing="0" w:line="560" w:lineRule="exact"/>
        <w:ind w:firstLine="640" w:firstLineChars="200"/>
        <w:textAlignment w:val="auto"/>
        <w:rPr>
          <w:sz w:val="32"/>
          <w:szCs w:val="32"/>
          <w:u w:val="none" w:color="auto"/>
        </w:rPr>
      </w:pPr>
    </w:p>
    <w:sectPr>
      <w:footerReference r:id="rId4" w:type="default"/>
      <w:pgSz w:w="11906" w:h="16838"/>
      <w:pgMar w:top="2098" w:right="1474" w:bottom="1984" w:left="1587"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43D38E-84C6-48D1-BD70-1A94E64DD3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A61F1DA-A882-43D8-A885-02722D34B4C1}"/>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597F22F9-6C21-4F68-91DA-35FD54EA2124}"/>
  </w:font>
  <w:font w:name="仿宋">
    <w:panose1 w:val="02010609060101010101"/>
    <w:charset w:val="86"/>
    <w:family w:val="modern"/>
    <w:pitch w:val="default"/>
    <w:sig w:usb0="800002BF" w:usb1="38CF7CFA" w:usb2="00000016" w:usb3="00000000" w:csb0="00040001" w:csb1="00000000"/>
    <w:embedRegular r:id="rId4" w:fontKey="{8D9F9798-F9BD-4C0F-AB65-586F73F768EA}"/>
  </w:font>
  <w:font w:name="times_new_roman">
    <w:altName w:val="Segoe Print"/>
    <w:panose1 w:val="00000000000000000000"/>
    <w:charset w:val="00"/>
    <w:family w:val="auto"/>
    <w:pitch w:val="default"/>
    <w:sig w:usb0="00000000" w:usb1="00000000" w:usb2="00000000" w:usb3="00000000" w:csb0="00000000" w:csb1="00000000"/>
    <w:embedRegular r:id="rId5" w:fontKey="{E7CA7A2F-92A7-4A9C-9798-0CAE7D943DA6}"/>
  </w:font>
  <w:font w:name="Segoe Print">
    <w:panose1 w:val="02000600000000000000"/>
    <w:charset w:val="00"/>
    <w:family w:val="auto"/>
    <w:pitch w:val="default"/>
    <w:sig w:usb0="0000028F" w:usb1="00000000" w:usb2="00000000" w:usb3="00000000" w:csb0="2000009F" w:csb1="47010000"/>
  </w:font>
  <w:font w:name="fang_zheng_xiao_biao_song_ti">
    <w:altName w:val="Segoe Print"/>
    <w:panose1 w:val="00000000000000000000"/>
    <w:charset w:val="00"/>
    <w:family w:val="auto"/>
    <w:pitch w:val="default"/>
    <w:sig w:usb0="00000000" w:usb1="00000000" w:usb2="00000000" w:usb3="00000000" w:csb0="00000000" w:csb1="00000000"/>
    <w:embedRegular r:id="rId6" w:fontKey="{676CDE73-BFCF-4D50-BC3F-CF173DD0601C}"/>
  </w:font>
  <w:font w:name="fang_song_gb2312">
    <w:altName w:val="Segoe Print"/>
    <w:panose1 w:val="00000000000000000000"/>
    <w:charset w:val="00"/>
    <w:family w:val="auto"/>
    <w:pitch w:val="default"/>
    <w:sig w:usb0="00000000" w:usb1="00000000" w:usb2="00000000" w:usb3="00000000" w:csb0="00000000" w:csb1="00000000"/>
    <w:embedRegular r:id="rId7" w:fontKey="{2E13B2F0-F055-4764-8FA5-D8FA35240769}"/>
  </w:font>
  <w:font w:name="kai_ti_gb2312">
    <w:altName w:val="Segoe Print"/>
    <w:panose1 w:val="00000000000000000000"/>
    <w:charset w:val="00"/>
    <w:family w:val="auto"/>
    <w:pitch w:val="default"/>
    <w:sig w:usb0="00000000" w:usb1="00000000" w:usb2="00000000" w:usb3="00000000" w:csb0="00000000" w:csb1="00000000"/>
    <w:embedRegular r:id="rId8" w:fontKey="{A465B3A2-71D4-4B4D-A356-AB7A9AEA2E37}"/>
  </w:font>
  <w:font w:name="Segoe UI">
    <w:panose1 w:val="020B0502040204020203"/>
    <w:charset w:val="00"/>
    <w:family w:val="auto"/>
    <w:pitch w:val="default"/>
    <w:sig w:usb0="E4002EFF" w:usb1="C000E47F"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9" w:fontKey="{11A3FBFF-3D17-401B-A6AB-8C66B9602EED}"/>
  </w:font>
  <w:font w:name="Times New Roman Regular">
    <w:altName w:val="Times New Roman"/>
    <w:panose1 w:val="00000000000000000000"/>
    <w:charset w:val="00"/>
    <w:family w:val="auto"/>
    <w:pitch w:val="default"/>
    <w:sig w:usb0="00000000" w:usb1="00000000" w:usb2="00000001" w:usb3="00000000" w:csb0="400001BF" w:csb1="DFF70000"/>
  </w:font>
  <w:font w:name="Arial">
    <w:panose1 w:val="020B0604020202020204"/>
    <w:charset w:val="00"/>
    <w:family w:val="auto"/>
    <w:pitch w:val="default"/>
    <w:sig w:usb0="E0002EFF" w:usb1="C000785B" w:usb2="00000009" w:usb3="00000000" w:csb0="400001FF" w:csb1="FFFF0000"/>
    <w:embedRegular r:id="rId10" w:fontKey="{C85D8401-6A8B-4398-B3C2-D59D8F512F41}"/>
  </w:font>
  <w:font w:name="楷体_GB2312">
    <w:panose1 w:val="02010609030101010101"/>
    <w:charset w:val="86"/>
    <w:family w:val="auto"/>
    <w:pitch w:val="default"/>
    <w:sig w:usb0="00000001" w:usb1="080E0000" w:usb2="00000000" w:usb3="00000000" w:csb0="00040000" w:csb1="00000000"/>
    <w:embedRegular r:id="rId11" w:fontKey="{8507331B-E089-4393-8C2D-00225BA3D7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B3A59">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4D134">
    <w:pPr>
      <w:pStyle w:val="11"/>
      <w:jc w:val="center"/>
    </w:pPr>
    <w:r>
      <w:fldChar w:fldCharType="begin"/>
    </w:r>
    <w:r>
      <w:instrText xml:space="preserve"> PAGE   \* MERGEFORMAT </w:instrText>
    </w:r>
    <w:r>
      <w:fldChar w:fldCharType="separate"/>
    </w:r>
    <w:r>
      <w:rPr>
        <w:lang w:val="zh-CN"/>
      </w:rPr>
      <w:t>25</w:t>
    </w:r>
    <w:r>
      <w:rPr>
        <w:lang w:val="zh-CN"/>
      </w:rPr>
      <w:fldChar w:fldCharType="end"/>
    </w:r>
  </w:p>
  <w:p w14:paraId="2E0A9122">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30CE0"/>
    <w:rsid w:val="00E3602E"/>
    <w:rsid w:val="00E60D6A"/>
    <w:rsid w:val="00E73321"/>
    <w:rsid w:val="00E77EC0"/>
    <w:rsid w:val="00E914C1"/>
    <w:rsid w:val="00E97C37"/>
    <w:rsid w:val="00EE533B"/>
    <w:rsid w:val="00F03A2B"/>
    <w:rsid w:val="00F04882"/>
    <w:rsid w:val="00F63327"/>
    <w:rsid w:val="00F80A29"/>
    <w:rsid w:val="00FA7CA5"/>
    <w:rsid w:val="00FD08EC"/>
    <w:rsid w:val="00FD7690"/>
    <w:rsid w:val="19A53C1B"/>
    <w:rsid w:val="3B272B9D"/>
    <w:rsid w:val="4DAB5F7A"/>
    <w:rsid w:val="51CD438B"/>
    <w:rsid w:val="5A0031AA"/>
    <w:rsid w:val="5EAA4E27"/>
    <w:rsid w:val="654942AE"/>
    <w:rsid w:val="74990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6" w:lineRule="auto"/>
      <w:outlineLvl w:val="2"/>
    </w:pPr>
    <w:rPr>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Cambria" w:hAnsi="Cambria"/>
      <w:b/>
      <w:bCs/>
      <w:sz w:val="28"/>
      <w:szCs w:val="28"/>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toc 5"/>
    <w:basedOn w:val="1"/>
    <w:next w:val="1"/>
    <w:autoRedefine/>
    <w:qFormat/>
    <w:uiPriority w:val="0"/>
    <w:pPr>
      <w:ind w:left="840"/>
      <w:jc w:val="left"/>
    </w:pPr>
    <w:rPr>
      <w:sz w:val="20"/>
      <w:szCs w:val="20"/>
    </w:rPr>
  </w:style>
  <w:style w:type="paragraph" w:styleId="9">
    <w:name w:val="toc 3"/>
    <w:basedOn w:val="1"/>
    <w:next w:val="1"/>
    <w:qFormat/>
    <w:uiPriority w:val="0"/>
    <w:pPr>
      <w:adjustRightInd w:val="0"/>
      <w:snapToGrid w:val="0"/>
      <w:spacing w:line="360" w:lineRule="auto"/>
      <w:ind w:firstLine="400" w:firstLineChars="400"/>
      <w:jc w:val="left"/>
    </w:pPr>
    <w:rPr>
      <w:sz w:val="24"/>
      <w:szCs w:val="20"/>
    </w:rPr>
  </w:style>
  <w:style w:type="paragraph" w:styleId="10">
    <w:name w:val="toc 8"/>
    <w:basedOn w:val="1"/>
    <w:next w:val="1"/>
    <w:autoRedefine/>
    <w:qFormat/>
    <w:uiPriority w:val="0"/>
    <w:pPr>
      <w:ind w:left="1470"/>
      <w:jc w:val="left"/>
    </w:pPr>
    <w:rPr>
      <w:sz w:val="20"/>
      <w:szCs w:val="20"/>
    </w:rPr>
  </w:style>
  <w:style w:type="paragraph" w:styleId="11">
    <w:name w:val="footer"/>
    <w:basedOn w:val="1"/>
    <w:link w:val="25"/>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adjustRightInd w:val="0"/>
      <w:snapToGrid w:val="0"/>
      <w:spacing w:line="360" w:lineRule="auto"/>
      <w:jc w:val="left"/>
    </w:pPr>
    <w:rPr>
      <w:b/>
      <w:bCs/>
      <w:sz w:val="24"/>
      <w:szCs w:val="20"/>
    </w:rPr>
  </w:style>
  <w:style w:type="paragraph" w:styleId="14">
    <w:name w:val="toc 4"/>
    <w:basedOn w:val="1"/>
    <w:next w:val="1"/>
    <w:autoRedefine/>
    <w:qFormat/>
    <w:uiPriority w:val="0"/>
    <w:pPr>
      <w:ind w:left="630"/>
      <w:jc w:val="left"/>
    </w:pPr>
    <w:rPr>
      <w:sz w:val="20"/>
      <w:szCs w:val="20"/>
    </w:rPr>
  </w:style>
  <w:style w:type="paragraph" w:styleId="15">
    <w:name w:val="toc 6"/>
    <w:basedOn w:val="1"/>
    <w:next w:val="1"/>
    <w:autoRedefine/>
    <w:qFormat/>
    <w:uiPriority w:val="0"/>
    <w:pPr>
      <w:ind w:left="1050"/>
      <w:jc w:val="left"/>
    </w:pPr>
    <w:rPr>
      <w:sz w:val="20"/>
      <w:szCs w:val="20"/>
    </w:rPr>
  </w:style>
  <w:style w:type="paragraph" w:styleId="16">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7">
    <w:name w:val="toc 9"/>
    <w:basedOn w:val="1"/>
    <w:next w:val="1"/>
    <w:autoRedefine/>
    <w:qFormat/>
    <w:uiPriority w:val="0"/>
    <w:pPr>
      <w:ind w:left="1680"/>
      <w:jc w:val="left"/>
    </w:pPr>
    <w:rPr>
      <w:sz w:val="20"/>
      <w:szCs w:val="20"/>
    </w:rPr>
  </w:style>
  <w:style w:type="character" w:styleId="20">
    <w:name w:val="page number"/>
    <w:basedOn w:val="19"/>
    <w:qFormat/>
    <w:uiPriority w:val="0"/>
  </w:style>
  <w:style w:type="character" w:styleId="21">
    <w:name w:val="Hyperlink"/>
    <w:basedOn w:val="19"/>
    <w:qFormat/>
    <w:uiPriority w:val="0"/>
    <w:rPr>
      <w:color w:val="0000FF"/>
      <w:u w:val="single"/>
    </w:rPr>
  </w:style>
  <w:style w:type="character" w:customStyle="1" w:styleId="22">
    <w:name w:val="标题 4 Char"/>
    <w:basedOn w:val="19"/>
    <w:link w:val="5"/>
    <w:qFormat/>
    <w:uiPriority w:val="0"/>
    <w:rPr>
      <w:rFonts w:ascii="Cambria" w:hAnsi="Cambria"/>
      <w:b/>
      <w:bCs/>
      <w:kern w:val="2"/>
      <w:sz w:val="28"/>
      <w:szCs w:val="28"/>
    </w:rPr>
  </w:style>
  <w:style w:type="paragraph" w:styleId="23">
    <w:name w:val="No Spacing"/>
    <w:link w:val="24"/>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4">
    <w:name w:val="无间隔 Char"/>
    <w:link w:val="23"/>
    <w:qFormat/>
    <w:locked/>
    <w:uiPriority w:val="0"/>
    <w:rPr>
      <w:rFonts w:eastAsia="仿宋_GB2312"/>
      <w:sz w:val="30"/>
      <w:szCs w:val="22"/>
      <w:lang w:bidi="ar-SA"/>
    </w:rPr>
  </w:style>
  <w:style w:type="character" w:customStyle="1" w:styleId="25">
    <w:name w:val="页脚 Char"/>
    <w:basedOn w:val="19"/>
    <w:link w:val="11"/>
    <w:qFormat/>
    <w:uiPriority w:val="0"/>
    <w:rPr>
      <w:kern w:val="2"/>
      <w:sz w:val="18"/>
      <w:szCs w:val="18"/>
    </w:rPr>
  </w:style>
  <w:style w:type="paragraph" w:styleId="26">
    <w:name w:val="List Paragraph"/>
    <w:basedOn w:val="1"/>
    <w:qFormat/>
    <w:uiPriority w:val="0"/>
    <w:pPr>
      <w:ind w:firstLine="420" w:firstLineChars="200"/>
    </w:pPr>
  </w:style>
  <w:style w:type="character" w:customStyle="1" w:styleId="27">
    <w:name w:val="标题 3 Char"/>
    <w:basedOn w:val="19"/>
    <w:link w:val="4"/>
    <w:qFormat/>
    <w:uiPriority w:val="0"/>
    <w:rPr>
      <w:b/>
      <w:bCs/>
      <w:kern w:val="2"/>
      <w:sz w:val="32"/>
      <w:szCs w:val="32"/>
    </w:rPr>
  </w:style>
  <w:style w:type="paragraph" w:customStyle="1" w:styleId="28">
    <w:name w:val="MsoNormal"/>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FD8714-0FA9-4C6D-A463-F07367D20AE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633</Words>
  <Characters>642</Characters>
  <Lines>1</Lines>
  <Paragraphs>1</Paragraphs>
  <TotalTime>10</TotalTime>
  <ScaleCrop>false</ScaleCrop>
  <LinksUpToDate>false</LinksUpToDate>
  <CharactersWithSpaces>654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wwq-</cp:lastModifiedBy>
  <cp:lastPrinted>2021-04-16T00:45:00Z</cp:lastPrinted>
  <dcterms:modified xsi:type="dcterms:W3CDTF">2025-08-18T03:12:35Z</dcterms:modified>
  <dc:title>××年度××部门/单位</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611238F30D8A411DBAB9B55681FC0BF8_12</vt:lpwstr>
  </property>
  <property fmtid="{D5CDD505-2E9C-101B-9397-08002B2CF9AE}" pid="3" name="KSOProductBuildVer">
    <vt:lpwstr>2052-12.1.0.21915</vt:lpwstr>
  </property>
  <property fmtid="{D5CDD505-2E9C-101B-9397-08002B2CF9AE}" pid="4" name="KSOTemplateDocerSaveRecord">
    <vt:lpwstr>eyJoZGlkIjoiOWVmMzA2MDI3MmVkM2NlNTYzMzQ4YTlhMDU2MjY5MTIiLCJ1c2VySWQiOiIyNTUwMjU3NTYifQ==</vt:lpwstr>
  </property>
</Properties>
</file>